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dragués</w:t>
      </w:r>
    </w:p>
    <w:p>
      <w:pPr/>
      <w:r>
        <w:rPr/>
        <w:t xml:space="preserve">Version du 26/06/2026 à 12:18:26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Objet évalué</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dragués et susceptibles d'être dragués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Ports suivis dans le cadre du RÉseau national de surveillance de la qualité des eaux et des sédiments des POrts Maritimes (REPOM)</w:t>
      </w:r>
    </w:p>
    <w:p>
      <w:pPr/>
      <w:r>
        <w:rPr>
          <w:b w:val="1"/>
          <w:bCs w:val="1"/>
        </w:rPr>
        <w:t xml:space="preserve">Stratégie temporelle</w:t>
      </w:r>
    </w:p>
    <w:p>
      <w:pPr/>
      <w:r>
        <w:rPr/>
        <w:t xml:space="preserve">Tous les 3 ans pour les sites susceptibles d’être dragués sur les sites de suivi complémentaire (en même temps que le suivi « carénage »)</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43 : Tableau des niveaux de référence utilisé pour le bilan national du programme sédiment</w:t>
      </w:r>
    </w:p>
    <w:p>
      <w:pPr/>
      <w:r>
        <w:rPr/>
        <w:t xml:space="preserve">                                                du réseau REPOM (mg/Kg de sédiment sec)</w:t>
      </w:r>
    </w:p>
    <w:p>
      <w:pPr>
        <w:jc w:val="both"/>
      </w:pPr>
      <w:r>
        <w:rPr/>
        <w:t xml:space="preserve">1 – Sédiments dragués :</w:t>
      </w:r>
    </w:p>
    <w:p>
      <w:pPr>
        <w:jc w:val="both"/>
      </w:pPr>
      <w:r>
        <w:rPr/>
        <w:t xml:space="preserve">Les données seront extraites des études d’impact. </w:t>
      </w:r>
    </w:p>
    <w:p>
      <w:pPr>
        <w:jc w:val="both"/>
      </w:pPr>
      <w:r>
        <w:rPr/>
        <w:t xml:space="preserve"> </w:t>
      </w:r>
    </w:p>
    <w:p>
      <w:pPr>
        <w:jc w:val="both"/>
      </w:pPr>
      <w:r>
        <w:rPr/>
        <w:t xml:space="preserve">2 – Sédiments susceptibles d’être dragués :</w:t>
      </w:r>
    </w:p>
    <w:p>
      <w:pPr>
        <w:jc w:val="both"/>
      </w:pPr>
      <w:r>
        <w:rPr/>
        <w:t xml:space="preserve">Les données d’analyse des sédiments réalisées pour l’indicateur « Carénage » seront exploitées.</w:t>
      </w:r>
    </w:p>
    <w:p>
      <w:pPr>
        <w:jc w:val="both"/>
      </w:pPr>
      <w:r>
        <w:rPr/>
        <w:t xml:space="preserve"> </w:t>
      </w:r>
    </w:p>
    <w:p>
      <w:pPr>
        <w:jc w:val="both"/>
      </w:pPr>
      <w:r>
        <w:rPr/>
        <w:t xml:space="preserve">Ces données sont ensuite comparées avec les normes de la grille GEODE. Dès qu’un dépassement est mesuré pour un seul des éléments recherchés, le point est considéré comme dépassant la norme.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sédiments dragués ou susceptibles d’être dragués supérieurs à la norme</w:t>
      </w:r>
    </w:p>
    <w:p>
      <w:pPr/>
      <w:r>
        <w:rPr>
          <w:b w:val="1"/>
          <w:bCs w:val="1"/>
        </w:rPr>
        <w:t xml:space="preserve">Stratégie spatiale</w:t>
      </w:r>
    </w:p>
    <w:p>
      <w:pPr/>
      <w:r>
        <w:rPr/>
        <w:t xml:space="preserve">Echelle du Parc</w:t>
      </w:r>
    </w:p>
    <w:p>
      <w:pPr/>
      <w:r>
        <w:rPr>
          <w:b w:val="1"/>
          <w:bCs w:val="1"/>
        </w:rPr>
        <w:t xml:space="preserve">Stratégie temporelle</w:t>
      </w:r>
    </w:p>
    <w:p>
      <w:pPr/>
      <w:r>
        <w:rPr/>
        <w:t xml:space="preserve">Tous les 3 ans </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de l’ensemble des résultats collectés pour les sédiments dragués ou susceptibles d’être dragués, le pourcentage de sédiments dont les teneurs en différents éléments sont supérieures à la norme GEODE N1 par rapport à l’ensemble des points suivis estcalculé. Ce résultat donne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métrique calculée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Borders>
          <w:top w:val="single" w:sz="0" w:color="solid"/>
          <w:left w:val="single" w:sz="0" w:color="solid"/>
          <w:right w:val="single" w:sz="0" w:color="solid"/>
          <w:bottom w:val="single" w:sz="0" w:color="solid"/>
          <w:insideH w:val="single" w:sz="0" w:color="solid"/>
          <w:insideV w:val="single" w:sz="0" w:color="solid"/>
        </w:tblBorders>
      </w:tblPr>
      <w:tr>
        <w:trPr>
          <w:trHeight w:val="492" w:hRule="exact"/>
        </w:trPr>
        <w:tc>
          <w:tcPr>
            <w:tcW w:w="18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ddd9c3"/>
            <w:noWrap/>
          </w:tcPr>
          <w:p>
            <w:pPr/>
            <w:r>
              <w:rPr>
                <w:b w:val="1"/>
                <w:bCs w:val="1"/>
                <w:shd w:val="clear" w:fill="ddd9c3"/>
              </w:rPr>
              <w:t xml:space="preserve">Métrique</w:t>
            </w:r>
          </w:p>
        </w:tc>
        <w:tc>
          <w:tcPr>
            <w:tcW w:w="16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bfbfbf"/>
            <w:noWrap/>
          </w:tcPr>
          <w:p>
            <w:pPr>
              <w:jc w:val="center"/>
            </w:pPr>
            <w:r>
              <w:rPr>
                <w:b w:val="1"/>
                <w:bCs w:val="1"/>
                <w:shd w:val="clear" w:fill="bfbfbf"/>
              </w:rPr>
              <w:t xml:space="preserve">indéterminé</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red"/>
            <w:noWrap/>
          </w:tcPr>
          <w:p>
            <w:pPr>
              <w:jc w:val="center"/>
            </w:pPr>
            <w:r>
              <w:rPr>
                <w:b w:val="1"/>
                <w:bCs w:val="1"/>
                <w:shd w:val="clear" w:fill="red"/>
              </w:rPr>
              <w:t xml:space="preserve">très mauvais</w:t>
            </w:r>
          </w:p>
          <w:p>
            <w:pPr>
              <w:jc w:val="center"/>
            </w:pPr>
            <w:r>
              <w:rPr>
                <w:b w:val="1"/>
                <w:bCs w:val="1"/>
                <w:shd w:val="clear" w:fill="red"/>
              </w:rPr>
              <w:t xml:space="preserve">(score=1)</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ffc000"/>
            <w:noWrap/>
          </w:tcPr>
          <w:p>
            <w:pPr>
              <w:jc w:val="center"/>
            </w:pPr>
            <w:r>
              <w:rPr>
                <w:b w:val="1"/>
                <w:bCs w:val="1"/>
                <w:shd w:val="clear" w:fill="ffc000"/>
              </w:rPr>
              <w:t xml:space="preserve">mauvais</w:t>
            </w:r>
          </w:p>
          <w:p>
            <w:pPr>
              <w:jc w:val="center"/>
            </w:pPr>
            <w:r>
              <w:rPr>
                <w:b w:val="1"/>
                <w:bCs w:val="1"/>
                <w:shd w:val="clear" w:fill="ffc000"/>
              </w:rPr>
              <w:t xml:space="preserve">(score=2)</w:t>
            </w:r>
          </w:p>
        </w:tc>
        <w:tc>
          <w:tcPr>
            <w:tcW w:w="130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yellow"/>
            <w:noWrap/>
          </w:tcPr>
          <w:p>
            <w:pPr>
              <w:jc w:val="center"/>
            </w:pPr>
            <w:r>
              <w:rPr>
                <w:b w:val="1"/>
                <w:bCs w:val="1"/>
                <w:shd w:val="clear" w:fill="yellow"/>
              </w:rPr>
              <w:t xml:space="preserve">moyen</w:t>
            </w:r>
          </w:p>
          <w:p>
            <w:pPr>
              <w:jc w:val="center"/>
            </w:pPr>
            <w:r>
              <w:rPr>
                <w:b w:val="1"/>
                <w:bCs w:val="1"/>
                <w:shd w:val="clear" w:fill="yellow"/>
              </w:rPr>
              <w:t xml:space="preserve">(score=3)</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92d050"/>
            <w:noWrap/>
          </w:tcPr>
          <w:p>
            <w:pPr>
              <w:jc w:val="center"/>
            </w:pPr>
            <w:r>
              <w:rPr>
                <w:b w:val="1"/>
                <w:bCs w:val="1"/>
                <w:shd w:val="clear" w:fill="92d050"/>
              </w:rPr>
              <w:t xml:space="preserve">bon</w:t>
            </w:r>
          </w:p>
          <w:p>
            <w:pPr>
              <w:jc w:val="center"/>
            </w:pPr>
            <w:r>
              <w:rPr>
                <w:b w:val="1"/>
                <w:bCs w:val="1"/>
                <w:shd w:val="clear" w:fill="92d050"/>
              </w:rPr>
              <w:t xml:space="preserve">(score=4)</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8db3e2"/>
            <w:noWrap/>
          </w:tcPr>
          <w:p>
            <w:pPr>
              <w:jc w:val="center"/>
            </w:pPr>
            <w:r>
              <w:rPr>
                <w:b w:val="1"/>
                <w:bCs w:val="1"/>
                <w:shd w:val="clear" w:fill="8db3e2"/>
              </w:rPr>
              <w:t xml:space="preserve">très bon</w:t>
            </w:r>
          </w:p>
          <w:p>
            <w:pPr>
              <w:jc w:val="center"/>
            </w:pPr>
            <w:r>
              <w:rPr>
                <w:b w:val="1"/>
                <w:bCs w:val="1"/>
                <w:shd w:val="clear" w:fill="8db3e2"/>
              </w:rPr>
              <w:t xml:space="preserve">(score=5)</w:t>
            </w:r>
          </w:p>
        </w:tc>
        <w:tc>
          <w:tcPr>
            <w:tcW w:w="6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jc w:val="center"/>
            </w:pPr>
            <w:r>
              <w:rPr>
                <w:b w:val="1"/>
                <w:bCs w:val="1"/>
              </w:rPr>
              <w:t xml:space="preserve">coefficient de pondération</w:t>
            </w:r>
          </w:p>
        </w:tc>
      </w:tr>
      <w:tr>
        <w:trPr>
          <w:trHeight w:val="246" w:hRule="exact"/>
        </w:trPr>
        <w:tc>
          <w:tcPr>
            <w:tcW w:w="18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r>
              <w:rPr/>
              <w:t xml:space="preserve">Pourcentage des boues dragués &gt; N1 (%)</w:t>
            </w:r>
          </w:p>
        </w:tc>
        <w:tc>
          <w:tcPr>
            <w:tcW w:w="160" w:type="dxa"/>
            <w:tcMar>
              <w:top w:w="0" w:type="dxa"/>
              <w:start w:w="108" w:type="dxa"/>
              <w:bottom w:w="0" w:type="dxa"/>
              <w:end w:w="108" w:type="dxa"/>
            </w:tcMar>
            <w:tcBorders>
              <w:right w:val="single" w:sz="0" w:color="solid"/>
              <w:bottom w:val="single" w:sz="0" w:color="solid"/>
            </w:tcBorders>
            <w:shd w:val="clear" w:fill="bfbfbf"/>
            <w:noWrap/>
          </w:tcPr>
          <w:p>
            <w:pPr>
              <w:jc w:val="center"/>
            </w:pPr>
            <w:r>
              <w:rPr>
                <w:shd w:val="clear" w:fill="bfbfbf"/>
              </w:rPr>
              <w:t xml:space="preserve"> </w:t>
            </w:r>
          </w:p>
        </w:tc>
        <w:tc>
          <w:tcPr>
            <w:tcW w:w="120" w:type="dxa"/>
            <w:tcMar>
              <w:top w:w="0" w:type="dxa"/>
              <w:start w:w="108" w:type="dxa"/>
              <w:bottom w:w="0" w:type="dxa"/>
              <w:end w:w="108" w:type="dxa"/>
            </w:tcMar>
            <w:tcBorders>
              <w:right w:val="single" w:sz="0" w:color="solid"/>
              <w:bottom w:val="single" w:sz="0" w:color="solid"/>
            </w:tcBorders>
            <w:shd w:val="clear" w:fill="red"/>
            <w:noWrap/>
          </w:tcPr>
          <w:p>
            <w:pPr>
              <w:jc w:val="center"/>
            </w:pPr>
            <w:r>
              <w:rPr>
                <w:shd w:val="clear" w:fill="red"/>
              </w:rPr>
              <w:t xml:space="preserve">[80-100%]</w:t>
            </w:r>
          </w:p>
        </w:tc>
        <w:tc>
          <w:tcPr>
            <w:tcW w:w="120" w:type="dxa"/>
            <w:tcMar>
              <w:top w:w="0" w:type="dxa"/>
              <w:start w:w="108" w:type="dxa"/>
              <w:bottom w:w="0" w:type="dxa"/>
              <w:end w:w="108" w:type="dxa"/>
            </w:tcMar>
            <w:tcBorders>
              <w:right w:val="single" w:sz="0" w:color="solid"/>
              <w:bottom w:val="single" w:sz="0" w:color="solid"/>
            </w:tcBorders>
            <w:shd w:val="clear" w:fill="ffc000"/>
            <w:noWrap/>
          </w:tcPr>
          <w:p>
            <w:pPr>
              <w:jc w:val="center"/>
            </w:pPr>
            <w:r>
              <w:rPr>
                <w:shd w:val="clear" w:fill="ffc000"/>
              </w:rPr>
              <w:t xml:space="preserve">[60-80%[</w:t>
            </w:r>
          </w:p>
        </w:tc>
        <w:tc>
          <w:tcPr>
            <w:tcW w:w="1300" w:type="dxa"/>
            <w:tcMar>
              <w:top w:w="0" w:type="dxa"/>
              <w:start w:w="108" w:type="dxa"/>
              <w:bottom w:w="0" w:type="dxa"/>
              <w:end w:w="108" w:type="dxa"/>
            </w:tcMar>
            <w:tcBorders>
              <w:right w:val="single" w:sz="0" w:color="solid"/>
              <w:bottom w:val="single" w:sz="0" w:color="solid"/>
            </w:tcBorders>
            <w:shd w:val="clear" w:fill="yellow"/>
            <w:noWrap/>
          </w:tcPr>
          <w:p>
            <w:pPr>
              <w:jc w:val="center"/>
            </w:pPr>
            <w:r>
              <w:rPr>
                <w:shd w:val="clear" w:fill="yellow"/>
              </w:rPr>
              <w:t xml:space="preserve">[40-60%[</w:t>
            </w:r>
          </w:p>
        </w:tc>
        <w:tc>
          <w:tcPr>
            <w:tcW w:w="120" w:type="dxa"/>
            <w:tcMar>
              <w:top w:w="0" w:type="dxa"/>
              <w:start w:w="108" w:type="dxa"/>
              <w:bottom w:w="0" w:type="dxa"/>
              <w:end w:w="108" w:type="dxa"/>
            </w:tcMar>
            <w:tcBorders>
              <w:right w:val="single" w:sz="0" w:color="solid"/>
              <w:bottom w:val="single" w:sz="0" w:color="solid"/>
            </w:tcBorders>
            <w:shd w:val="clear" w:fill="92d050"/>
            <w:noWrap/>
          </w:tcPr>
          <w:p>
            <w:pPr>
              <w:jc w:val="center"/>
            </w:pPr>
            <w:r>
              <w:rPr>
                <w:shd w:val="clear" w:fill="92d050"/>
              </w:rPr>
              <w:t xml:space="preserve">[20-40%[</w:t>
            </w:r>
          </w:p>
        </w:tc>
        <w:tc>
          <w:tcPr>
            <w:tcW w:w="120" w:type="dxa"/>
            <w:tcMar>
              <w:top w:w="0" w:type="dxa"/>
              <w:start w:w="108" w:type="dxa"/>
              <w:bottom w:w="0" w:type="dxa"/>
              <w:end w:w="108" w:type="dxa"/>
            </w:tcMar>
            <w:tcBorders>
              <w:right w:val="single" w:sz="0" w:color="solid"/>
              <w:bottom w:val="single" w:sz="0" w:color="solid"/>
            </w:tcBorders>
            <w:shd w:val="clear" w:fill="8db3e2"/>
            <w:noWrap/>
          </w:tcPr>
          <w:p>
            <w:pPr>
              <w:jc w:val="center"/>
            </w:pPr>
            <w:r>
              <w:rPr>
                <w:shd w:val="clear" w:fill="8db3e2"/>
              </w:rPr>
              <w:t xml:space="preserve">[0-20%[</w:t>
            </w:r>
          </w:p>
        </w:tc>
        <w:tc>
          <w:tcPr>
            <w:tcW w:w="60" w:type="dxa"/>
            <w:tcMar>
              <w:top w:w="0" w:type="dxa"/>
              <w:start w:w="108" w:type="dxa"/>
              <w:bottom w:w="0" w:type="dxa"/>
              <w:end w:w="108" w:type="dxa"/>
            </w:tcMar>
            <w:tcBorders>
              <w:right w:val="single" w:sz="0" w:color="solid"/>
              <w:bottom w:val="single" w:sz="0" w:color="solid"/>
            </w:tcBorders>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2026-07-06T20:46:24+02:00</dcterms:created>
  <dcterms:modified xsi:type="dcterms:W3CDTF">2026-07-06T20:46:24+02:00</dcterms:modified>
</cp:coreProperties>
</file>

<file path=docProps/custom.xml><?xml version="1.0" encoding="utf-8"?>
<Properties xmlns="http://schemas.openxmlformats.org/officeDocument/2006/custom-properties" xmlns:vt="http://schemas.openxmlformats.org/officeDocument/2006/docPropsVTypes"/>
</file>