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dragués</w:t>
      </w:r>
    </w:p>
    <w:p>
      <w:pPr/>
      <w:r>
        <w:rPr/>
        <w:t xml:space="preserve">Version du 06/02/2020 à 14:51:06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Objet évalué</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dragués et susceptibles d'être dragués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Ports suivis dans le cadre du RÉseau national de surveillance de la qualité des eaux et des sédiments des POrts Maritimes (REPOM)</w:t>
      </w:r>
    </w:p>
    <w:p>
      <w:pPr/>
      <w:r>
        <w:rPr>
          <w:b w:val="1"/>
          <w:bCs w:val="1"/>
        </w:rPr>
        <w:t xml:space="preserve">Stratégie temporelle</w:t>
      </w:r>
    </w:p>
    <w:p>
      <w:pPr/>
      <w:r>
        <w:rPr/>
        <w:t xml:space="preserve">Tous les 3 ans pour les sites susceptibles d’être dragués sur les sites de suivi complémentaire (en même temps que le suivi « carénage »)</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gridCol/>
        <w:gridCol/>
        <w:gridCol/>
      </w:tblGrid>
      <w:tblPr>
        <w:tblW w:w="0" w:type="auto"/>
        <w:tblLayout w:type="autofit"/>
        <w:bidiVisual w:val="0"/>
      </w:tblPr>
      <w:tr>
        <w:trPr/>
        <w:tc>
          <w:tcPr/>
          <w:p>
            <w:pPr/>
            <w:r>
              <w:rPr/>
              <w:t xml:space="preserve"> </w:t>
            </w:r>
          </w:p>
        </w:tc>
        <w:tc>
          <w:tcPr/>
          <w:p>
            <w:pPr/>
            <w:r>
              <w:rPr/>
              <w:t xml:space="preserve"> </w:t>
            </w:r>
          </w:p>
        </w:tc>
        <w:tc>
          <w:tcPr/>
          <w:p>
            <w:pPr/>
            <w:r>
              <w:rPr/>
              <w:t xml:space="preserve">Niveau 1 (mg/Kg)</w:t>
            </w:r>
          </w:p>
        </w:tc>
        <w:tc>
          <w:tcPr/>
          <w:p>
            <w:pPr/>
            <w:r>
              <w:rPr/>
              <w:t xml:space="preserve">Niveau 2 (mg/Kg)</w:t>
            </w:r>
          </w:p>
        </w:tc>
      </w:tr>
      <w:tr>
        <w:trPr/>
        <w:tc>
          <w:tcPr/>
          <w:p>
            <w:pPr/>
            <w:r>
              <w:rPr/>
              <w:t xml:space="preserve">métaux</w:t>
            </w:r>
          </w:p>
        </w:tc>
        <w:tc>
          <w:tcPr/>
          <w:p>
            <w:pPr/>
            <w:r>
              <w:rPr/>
              <w:t xml:space="preserve">Arsenic</w:t>
            </w:r>
          </w:p>
        </w:tc>
        <w:tc>
          <w:tcPr/>
          <w:p>
            <w:pPr/>
            <w:r>
              <w:rPr/>
              <w:t xml:space="preserve">25</w:t>
            </w:r>
          </w:p>
        </w:tc>
        <w:tc>
          <w:tcPr/>
          <w:p>
            <w:pPr/>
            <w:r>
              <w:rPr/>
              <w:t xml:space="preserve">50</w:t>
            </w:r>
          </w:p>
        </w:tc>
      </w:tr>
      <w:tr>
        <w:trPr/>
        <w:tc>
          <w:tcPr/>
          <w:p>
            <w:pPr/>
            <w:r>
              <w:rPr/>
              <w:t xml:space="preserve">Cadmium</w:t>
            </w:r>
          </w:p>
        </w:tc>
        <w:tc>
          <w:tcPr/>
          <w:p>
            <w:pPr/>
            <w:r>
              <w:rPr/>
              <w:t xml:space="preserve">1,2</w:t>
            </w:r>
          </w:p>
        </w:tc>
        <w:tc>
          <w:tcPr/>
          <w:p>
            <w:pPr/>
            <w:r>
              <w:rPr/>
              <w:t xml:space="preserve">2,4</w:t>
            </w:r>
          </w:p>
        </w:tc>
      </w:tr>
      <w:tr>
        <w:trPr/>
        <w:tc>
          <w:tcPr/>
          <w:p>
            <w:pPr/>
            <w:r>
              <w:rPr/>
              <w:t xml:space="preserve">Chrome</w:t>
            </w:r>
          </w:p>
        </w:tc>
        <w:tc>
          <w:tcPr/>
          <w:p>
            <w:pPr/>
            <w:r>
              <w:rPr/>
              <w:t xml:space="preserve">90</w:t>
            </w:r>
          </w:p>
        </w:tc>
        <w:tc>
          <w:tcPr/>
          <w:p>
            <w:pPr/>
            <w:r>
              <w:rPr/>
              <w:t xml:space="preserve">180</w:t>
            </w:r>
          </w:p>
        </w:tc>
      </w:tr>
      <w:tr>
        <w:trPr/>
        <w:tc>
          <w:tcPr/>
          <w:p>
            <w:pPr/>
            <w:r>
              <w:rPr/>
              <w:t xml:space="preserve">Cuivre</w:t>
            </w:r>
          </w:p>
        </w:tc>
        <w:tc>
          <w:tcPr/>
          <w:p>
            <w:pPr/>
            <w:r>
              <w:rPr/>
              <w:t xml:space="preserve">45</w:t>
            </w:r>
          </w:p>
        </w:tc>
        <w:tc>
          <w:tcPr/>
          <w:p>
            <w:pPr/>
            <w:r>
              <w:rPr/>
              <w:t xml:space="preserve">90</w:t>
            </w:r>
          </w:p>
        </w:tc>
      </w:tr>
      <w:tr>
        <w:trPr/>
        <w:tc>
          <w:tcPr/>
          <w:p>
            <w:pPr/>
            <w:r>
              <w:rPr/>
              <w:t xml:space="preserve">Mercure</w:t>
            </w:r>
          </w:p>
        </w:tc>
        <w:tc>
          <w:tcPr/>
          <w:p>
            <w:pPr/>
            <w:r>
              <w:rPr/>
              <w:t xml:space="preserve">0,4</w:t>
            </w:r>
          </w:p>
        </w:tc>
        <w:tc>
          <w:tcPr/>
          <w:p>
            <w:pPr/>
            <w:r>
              <w:rPr/>
              <w:t xml:space="preserve">0,8</w:t>
            </w:r>
          </w:p>
        </w:tc>
      </w:tr>
      <w:tr>
        <w:trPr/>
        <w:tc>
          <w:tcPr/>
          <w:p>
            <w:pPr/>
            <w:r>
              <w:rPr/>
              <w:t xml:space="preserve">Plomb</w:t>
            </w:r>
          </w:p>
        </w:tc>
        <w:tc>
          <w:tcPr/>
          <w:p>
            <w:pPr/>
            <w:r>
              <w:rPr/>
              <w:t xml:space="preserve">100</w:t>
            </w:r>
          </w:p>
        </w:tc>
        <w:tc>
          <w:tcPr/>
          <w:p>
            <w:pPr/>
            <w:r>
              <w:rPr/>
              <w:t xml:space="preserve">200</w:t>
            </w:r>
          </w:p>
        </w:tc>
      </w:tr>
      <w:tr>
        <w:trPr/>
        <w:tc>
          <w:tcPr/>
          <w:p>
            <w:pPr/>
            <w:r>
              <w:rPr/>
              <w:t xml:space="preserve">Nickel</w:t>
            </w:r>
          </w:p>
        </w:tc>
        <w:tc>
          <w:tcPr/>
          <w:p>
            <w:pPr/>
            <w:r>
              <w:rPr/>
              <w:t xml:space="preserve">37</w:t>
            </w:r>
          </w:p>
        </w:tc>
        <w:tc>
          <w:tcPr/>
          <w:p>
            <w:pPr/>
            <w:r>
              <w:rPr/>
              <w:t xml:space="preserve">74</w:t>
            </w:r>
          </w:p>
        </w:tc>
      </w:tr>
      <w:tr>
        <w:trPr/>
        <w:tc>
          <w:tcPr/>
          <w:p>
            <w:pPr/>
            <w:r>
              <w:rPr/>
              <w:t xml:space="preserve">Zinc</w:t>
            </w:r>
          </w:p>
        </w:tc>
        <w:tc>
          <w:tcPr/>
          <w:p>
            <w:pPr/>
            <w:r>
              <w:rPr/>
              <w:t xml:space="preserve">276</w:t>
            </w:r>
          </w:p>
        </w:tc>
        <w:tc>
          <w:tcPr/>
          <w:p>
            <w:pPr/>
            <w:r>
              <w:rPr/>
              <w:t xml:space="preserve">552</w:t>
            </w:r>
          </w:p>
        </w:tc>
      </w:tr>
      <w:tr>
        <w:trPr/>
        <w:tc>
          <w:tcPr/>
          <w:p>
            <w:pPr/>
            <w:r>
              <w:rPr/>
              <w:t xml:space="preserve">Polychloro-</w:t>
            </w:r>
          </w:p>
          <w:p>
            <w:pPr/>
            <w:r>
              <w:rPr/>
              <w:t xml:space="preserve">biphényles</w:t>
            </w:r>
          </w:p>
        </w:tc>
        <w:tc>
          <w:tcPr/>
          <w:p>
            <w:pPr/>
            <w:r>
              <w:rPr/>
              <w:t xml:space="preserve">PCB28</w:t>
            </w:r>
          </w:p>
        </w:tc>
        <w:tc>
          <w:tcPr/>
          <w:p>
            <w:pPr/>
            <w:r>
              <w:rPr/>
              <w:t xml:space="preserve">0,025</w:t>
            </w:r>
          </w:p>
        </w:tc>
        <w:tc>
          <w:tcPr/>
          <w:p>
            <w:pPr/>
            <w:r>
              <w:rPr/>
              <w:t xml:space="preserve">0,050</w:t>
            </w:r>
          </w:p>
        </w:tc>
      </w:tr>
      <w:tr>
        <w:trPr/>
        <w:tc>
          <w:tcPr/>
          <w:p>
            <w:pPr/>
            <w:r>
              <w:rPr/>
              <w:t xml:space="preserve">PCB 52</w:t>
            </w:r>
          </w:p>
        </w:tc>
        <w:tc>
          <w:tcPr/>
          <w:p>
            <w:pPr/>
            <w:r>
              <w:rPr/>
              <w:t xml:space="preserve">0,025</w:t>
            </w:r>
          </w:p>
        </w:tc>
        <w:tc>
          <w:tcPr/>
          <w:p>
            <w:pPr/>
            <w:r>
              <w:rPr/>
              <w:t xml:space="preserve">0,050</w:t>
            </w:r>
          </w:p>
        </w:tc>
      </w:tr>
      <w:tr>
        <w:trPr/>
        <w:tc>
          <w:tcPr/>
          <w:p>
            <w:pPr/>
            <w:r>
              <w:rPr/>
              <w:t xml:space="preserve">PCB 101</w:t>
            </w:r>
          </w:p>
        </w:tc>
        <w:tc>
          <w:tcPr/>
          <w:p>
            <w:pPr/>
            <w:r>
              <w:rPr/>
              <w:t xml:space="preserve">0,050</w:t>
            </w:r>
          </w:p>
        </w:tc>
        <w:tc>
          <w:tcPr/>
          <w:p>
            <w:pPr/>
            <w:r>
              <w:rPr/>
              <w:t xml:space="preserve">0,100</w:t>
            </w:r>
          </w:p>
        </w:tc>
      </w:tr>
      <w:tr>
        <w:trPr/>
        <w:tc>
          <w:tcPr/>
          <w:p>
            <w:pPr/>
            <w:r>
              <w:rPr/>
              <w:t xml:space="preserve">PCB 118</w:t>
            </w:r>
          </w:p>
        </w:tc>
        <w:tc>
          <w:tcPr/>
          <w:p>
            <w:pPr/>
            <w:r>
              <w:rPr/>
              <w:t xml:space="preserve">0,025</w:t>
            </w:r>
          </w:p>
        </w:tc>
        <w:tc>
          <w:tcPr/>
          <w:p>
            <w:pPr/>
            <w:r>
              <w:rPr/>
              <w:t xml:space="preserve">0,050</w:t>
            </w:r>
          </w:p>
        </w:tc>
      </w:tr>
      <w:tr>
        <w:trPr/>
        <w:tc>
          <w:tcPr/>
          <w:p>
            <w:pPr/>
            <w:r>
              <w:rPr/>
              <w:t xml:space="preserve">PCB 138</w:t>
            </w:r>
          </w:p>
        </w:tc>
        <w:tc>
          <w:tcPr/>
          <w:p>
            <w:pPr/>
            <w:r>
              <w:rPr/>
              <w:t xml:space="preserve">0,050</w:t>
            </w:r>
          </w:p>
        </w:tc>
        <w:tc>
          <w:tcPr/>
          <w:p>
            <w:pPr/>
            <w:r>
              <w:rPr/>
              <w:t xml:space="preserve">0,100</w:t>
            </w:r>
          </w:p>
        </w:tc>
      </w:tr>
      <w:tr>
        <w:trPr/>
        <w:tc>
          <w:tcPr/>
          <w:p>
            <w:pPr/>
            <w:r>
              <w:rPr/>
              <w:t xml:space="preserve">PCB153</w:t>
            </w:r>
          </w:p>
        </w:tc>
        <w:tc>
          <w:tcPr/>
          <w:p>
            <w:pPr/>
            <w:r>
              <w:rPr/>
              <w:t xml:space="preserve">0,050</w:t>
            </w:r>
          </w:p>
        </w:tc>
        <w:tc>
          <w:tcPr/>
          <w:p>
            <w:pPr/>
            <w:r>
              <w:rPr/>
              <w:t xml:space="preserve">0,100</w:t>
            </w:r>
          </w:p>
        </w:tc>
      </w:tr>
      <w:tr>
        <w:trPr/>
        <w:tc>
          <w:tcPr/>
          <w:p>
            <w:pPr/>
            <w:r>
              <w:rPr/>
              <w:t xml:space="preserve">PCB 180</w:t>
            </w:r>
          </w:p>
        </w:tc>
        <w:tc>
          <w:tcPr/>
          <w:p>
            <w:pPr/>
            <w:r>
              <w:rPr/>
              <w:t xml:space="preserve">0,025</w:t>
            </w:r>
          </w:p>
        </w:tc>
        <w:tc>
          <w:tcPr/>
          <w:p>
            <w:pPr/>
            <w:r>
              <w:rPr/>
              <w:t xml:space="preserve">0,050</w:t>
            </w:r>
          </w:p>
        </w:tc>
      </w:tr>
      <w:tr>
        <w:trPr/>
        <w:tc>
          <w:tcPr/>
          <w:p>
            <w:pPr/>
            <w:r>
              <w:rPr/>
              <w:t xml:space="preserve">∑ PCB</w:t>
            </w:r>
          </w:p>
        </w:tc>
        <w:tc>
          <w:tcPr/>
          <w:p>
            <w:pPr/>
            <w:r>
              <w:rPr/>
              <w:t xml:space="preserve">0,5</w:t>
            </w:r>
          </w:p>
        </w:tc>
        <w:tc>
          <w:tcPr/>
          <w:p>
            <w:pPr/>
            <w:r>
              <w:rPr/>
              <w:t xml:space="preserve">1</w:t>
            </w:r>
          </w:p>
        </w:tc>
      </w:tr>
      <w:tr>
        <w:trPr/>
        <w:tc>
          <w:tcPr/>
          <w:p>
            <w:pPr/>
            <w:r>
              <w:rPr/>
              <w:t xml:space="preserve">Tributylétain</w:t>
            </w:r>
          </w:p>
        </w:tc>
        <w:tc>
          <w:tcPr/>
          <w:p>
            <w:pPr/>
            <w:r>
              <w:rPr/>
              <w:t xml:space="preserve">TBT</w:t>
            </w:r>
          </w:p>
        </w:tc>
        <w:tc>
          <w:tcPr/>
          <w:p>
            <w:pPr/>
            <w:r>
              <w:rPr/>
              <w:t xml:space="preserve">0,1</w:t>
            </w:r>
          </w:p>
        </w:tc>
        <w:tc>
          <w:tcPr/>
          <w:p>
            <w:pPr/>
            <w:r>
              <w:rPr/>
              <w:t xml:space="preserve">0,4</w:t>
            </w:r>
          </w:p>
        </w:tc>
      </w:tr>
      <w:tr>
        <w:trPr/>
        <w:tc>
          <w:tcPr/>
          <w:p>
            <w:pPr/>
            <w:r>
              <w:rPr/>
              <w:t xml:space="preserve">Hydrocarbures</w:t>
            </w:r>
          </w:p>
          <w:p>
            <w:pPr/>
            <w:r>
              <w:rPr/>
              <w:t xml:space="preserve">Aromatiques</w:t>
            </w:r>
          </w:p>
          <w:p>
            <w:pPr/>
            <w:r>
              <w:rPr/>
              <w:t xml:space="preserve">polycycliques</w:t>
            </w:r>
          </w:p>
        </w:tc>
        <w:tc>
          <w:tcPr/>
          <w:p>
            <w:pPr/>
            <w:r>
              <w:rPr/>
              <w:t xml:space="preserve">Benzo(a)pyrène</w:t>
            </w:r>
          </w:p>
        </w:tc>
        <w:tc>
          <w:tcPr/>
          <w:p>
            <w:pPr/>
            <w:r>
              <w:rPr/>
              <w:t xml:space="preserve">0,2</w:t>
            </w:r>
          </w:p>
        </w:tc>
        <w:tc>
          <w:tcPr/>
          <w:p>
            <w:pPr/>
            <w:r>
              <w:rPr/>
              <w:t xml:space="preserve">1</w:t>
            </w:r>
          </w:p>
        </w:tc>
      </w:tr>
      <w:tr>
        <w:trPr/>
        <w:tc>
          <w:tcPr/>
          <w:p>
            <w:pPr/>
            <w:r>
              <w:rPr/>
              <w:t xml:space="preserve">Benzo(b)fluoranthène</w:t>
            </w:r>
          </w:p>
        </w:tc>
        <w:tc>
          <w:tcPr/>
          <w:p>
            <w:pPr/>
            <w:r>
              <w:rPr/>
              <w:t xml:space="preserve">0,3</w:t>
            </w:r>
          </w:p>
        </w:tc>
        <w:tc>
          <w:tcPr/>
          <w:p>
            <w:pPr/>
            <w:r>
              <w:rPr/>
              <w:t xml:space="preserve">3</w:t>
            </w:r>
          </w:p>
        </w:tc>
      </w:tr>
      <w:tr>
        <w:trPr/>
        <w:tc>
          <w:tcPr/>
          <w:p>
            <w:pPr/>
            <w:r>
              <w:rPr/>
              <w:t xml:space="preserve">Benzo(ghi)perylène</w:t>
            </w:r>
          </w:p>
        </w:tc>
        <w:tc>
          <w:tcPr/>
          <w:p>
            <w:pPr/>
            <w:r>
              <w:rPr/>
              <w:t xml:space="preserve">0,2</w:t>
            </w:r>
          </w:p>
        </w:tc>
        <w:tc>
          <w:tcPr/>
          <w:p>
            <w:pPr/>
            <w:r>
              <w:rPr/>
              <w:t xml:space="preserve">1</w:t>
            </w:r>
          </w:p>
        </w:tc>
      </w:tr>
      <w:tr>
        <w:trPr/>
        <w:tc>
          <w:tcPr/>
          <w:p>
            <w:pPr/>
            <w:r>
              <w:rPr/>
              <w:t xml:space="preserve">Benzo(k)fluoranthène</w:t>
            </w:r>
          </w:p>
        </w:tc>
        <w:tc>
          <w:tcPr/>
          <w:p>
            <w:pPr/>
            <w:r>
              <w:rPr/>
              <w:t xml:space="preserve">0,2</w:t>
            </w:r>
          </w:p>
        </w:tc>
        <w:tc>
          <w:tcPr/>
          <w:p>
            <w:pPr/>
            <w:r>
              <w:rPr/>
              <w:t xml:space="preserve">2</w:t>
            </w:r>
          </w:p>
        </w:tc>
      </w:tr>
      <w:tr>
        <w:trPr/>
        <w:tc>
          <w:tcPr/>
          <w:p>
            <w:pPr/>
            <w:r>
              <w:rPr/>
              <w:t xml:space="preserve">Fluoranthène</w:t>
            </w:r>
          </w:p>
        </w:tc>
        <w:tc>
          <w:tcPr/>
          <w:p>
            <w:pPr/>
            <w:r>
              <w:rPr/>
              <w:t xml:space="preserve">0,4</w:t>
            </w:r>
          </w:p>
        </w:tc>
        <w:tc>
          <w:tcPr/>
          <w:p>
            <w:pPr/>
            <w:r>
              <w:rPr/>
              <w:t xml:space="preserve">5</w:t>
            </w:r>
          </w:p>
        </w:tc>
      </w:tr>
      <w:tr>
        <w:trPr/>
        <w:tc>
          <w:tcPr/>
          <w:p>
            <w:pPr/>
            <w:r>
              <w:rPr/>
              <w:t xml:space="preserve">Indeno(123cd)pyrène</w:t>
            </w:r>
          </w:p>
        </w:tc>
        <w:tc>
          <w:tcPr/>
          <w:p>
            <w:pPr/>
            <w:r>
              <w:rPr/>
              <w:t xml:space="preserve">0,2</w:t>
            </w:r>
          </w:p>
        </w:tc>
        <w:tc>
          <w:tcPr/>
          <w:p>
            <w:pPr/>
            <w:r>
              <w:rPr/>
              <w:t xml:space="preserve">1</w:t>
            </w:r>
          </w:p>
        </w:tc>
      </w:tr>
      <w:tr>
        <w:trPr/>
        <w:tc>
          <w:tcPr/>
          <w:p>
            <w:pPr/>
            <w:r>
              <w:rPr/>
              <w:t xml:space="preserve">Acénaphtène</w:t>
            </w:r>
          </w:p>
        </w:tc>
        <w:tc>
          <w:tcPr/>
          <w:p>
            <w:pPr/>
            <w:r>
              <w:rPr/>
              <w:t xml:space="preserve">0,11</w:t>
            </w:r>
          </w:p>
        </w:tc>
        <w:tc>
          <w:tcPr/>
          <w:p>
            <w:pPr/>
            <w:r>
              <w:rPr/>
              <w:t xml:space="preserve"> </w:t>
            </w:r>
          </w:p>
        </w:tc>
      </w:tr>
      <w:tr>
        <w:trPr/>
        <w:tc>
          <w:tcPr/>
          <w:p>
            <w:pPr/>
            <w:r>
              <w:rPr/>
              <w:t xml:space="preserve">Anthracène</w:t>
            </w:r>
          </w:p>
        </w:tc>
        <w:tc>
          <w:tcPr/>
          <w:p>
            <w:pPr/>
            <w:r>
              <w:rPr/>
              <w:t xml:space="preserve">0,51</w:t>
            </w:r>
          </w:p>
        </w:tc>
        <w:tc>
          <w:tcPr/>
          <w:p>
            <w:pPr/>
            <w:r>
              <w:rPr/>
              <w:t xml:space="preserve"> </w:t>
            </w:r>
          </w:p>
        </w:tc>
      </w:tr>
      <w:tr>
        <w:trPr/>
        <w:tc>
          <w:tcPr/>
          <w:p>
            <w:pPr/>
            <w:r>
              <w:rPr/>
              <w:t xml:space="preserve">Benzo(a)anthracène</w:t>
            </w:r>
          </w:p>
        </w:tc>
        <w:tc>
          <w:tcPr/>
          <w:p>
            <w:pPr/>
            <w:r>
              <w:rPr/>
              <w:t xml:space="preserve">0,71</w:t>
            </w:r>
          </w:p>
        </w:tc>
        <w:tc>
          <w:tcPr/>
          <w:p>
            <w:pPr/>
            <w:r>
              <w:rPr/>
              <w:t xml:space="preserve"> </w:t>
            </w:r>
          </w:p>
        </w:tc>
      </w:tr>
      <w:tr>
        <w:trPr/>
        <w:tc>
          <w:tcPr/>
          <w:p>
            <w:pPr/>
            <w:r>
              <w:rPr/>
              <w:t xml:space="preserve">Benzo(ah)anthracène</w:t>
            </w:r>
          </w:p>
        </w:tc>
        <w:tc>
          <w:tcPr/>
          <w:p>
            <w:pPr/>
            <w:r>
              <w:rPr/>
              <w:t xml:space="preserve">0,11</w:t>
            </w:r>
          </w:p>
        </w:tc>
        <w:tc>
          <w:tcPr/>
          <w:p>
            <w:pPr/>
            <w:r>
              <w:rPr/>
              <w:t xml:space="preserve"> </w:t>
            </w:r>
          </w:p>
        </w:tc>
      </w:tr>
      <w:tr>
        <w:trPr/>
        <w:tc>
          <w:tcPr/>
          <w:p>
            <w:pPr/>
            <w:r>
              <w:rPr/>
              <w:t xml:space="preserve">Chrysène</w:t>
            </w:r>
          </w:p>
        </w:tc>
        <w:tc>
          <w:tcPr/>
          <w:p>
            <w:pPr/>
            <w:r>
              <w:rPr/>
              <w:t xml:space="preserve">1,01</w:t>
            </w:r>
          </w:p>
        </w:tc>
        <w:tc>
          <w:tcPr/>
          <w:p>
            <w:pPr/>
            <w:r>
              <w:rPr/>
              <w:t xml:space="preserve"> </w:t>
            </w:r>
          </w:p>
        </w:tc>
      </w:tr>
      <w:tr>
        <w:trPr/>
        <w:tc>
          <w:tcPr/>
          <w:p>
            <w:pPr/>
            <w:r>
              <w:rPr/>
              <w:t xml:space="preserve">Dibenzo(ah)anthracène</w:t>
            </w:r>
          </w:p>
        </w:tc>
        <w:tc>
          <w:tcPr/>
          <w:p>
            <w:pPr/>
            <w:r>
              <w:rPr/>
              <w:t xml:space="preserve">0,1</w:t>
            </w:r>
          </w:p>
        </w:tc>
        <w:tc>
          <w:tcPr/>
          <w:p>
            <w:pPr/>
            <w:r>
              <w:rPr/>
              <w:t xml:space="preserve"> </w:t>
            </w:r>
          </w:p>
        </w:tc>
      </w:tr>
      <w:tr>
        <w:trPr/>
        <w:tc>
          <w:tcPr/>
          <w:p>
            <w:pPr/>
            <w:r>
              <w:rPr/>
              <w:t xml:space="preserve">Fluorène</w:t>
            </w:r>
          </w:p>
        </w:tc>
        <w:tc>
          <w:tcPr/>
          <w:p>
            <w:pPr/>
            <w:r>
              <w:rPr/>
              <w:t xml:space="preserve">0,17</w:t>
            </w:r>
          </w:p>
        </w:tc>
        <w:tc>
          <w:tcPr/>
          <w:p>
            <w:pPr/>
            <w:r>
              <w:rPr/>
              <w:t xml:space="preserve"> </w:t>
            </w:r>
          </w:p>
        </w:tc>
      </w:tr>
      <w:tr>
        <w:trPr/>
        <w:tc>
          <w:tcPr/>
          <w:p>
            <w:pPr/>
            <w:r>
              <w:rPr/>
              <w:t xml:space="preserve">Naphtalène</w:t>
            </w:r>
          </w:p>
        </w:tc>
        <w:tc>
          <w:tcPr/>
          <w:p>
            <w:pPr/>
            <w:r>
              <w:rPr/>
              <w:t xml:space="preserve">0,21</w:t>
            </w:r>
          </w:p>
        </w:tc>
        <w:tc>
          <w:tcPr/>
          <w:p>
            <w:pPr/>
            <w:r>
              <w:rPr/>
              <w:t xml:space="preserve"> </w:t>
            </w:r>
          </w:p>
        </w:tc>
      </w:tr>
      <w:tr>
        <w:trPr/>
        <w:tc>
          <w:tcPr/>
          <w:p>
            <w:pPr/>
            <w:r>
              <w:rPr/>
              <w:t xml:space="preserve">Phénanthrène</w:t>
            </w:r>
          </w:p>
        </w:tc>
        <w:tc>
          <w:tcPr/>
          <w:p>
            <w:pPr/>
            <w:r>
              <w:rPr/>
              <w:t xml:space="preserve">1,01</w:t>
            </w:r>
          </w:p>
        </w:tc>
        <w:tc>
          <w:tcPr/>
          <w:p>
            <w:pPr/>
            <w:r>
              <w:rPr/>
              <w:t xml:space="preserve"> </w:t>
            </w:r>
          </w:p>
        </w:tc>
      </w:tr>
      <w:tr>
        <w:trPr/>
        <w:tc>
          <w:tcPr/>
          <w:p>
            <w:pPr/>
            <w:r>
              <w:rPr/>
              <w:t xml:space="preserve">pyrène</w:t>
            </w:r>
          </w:p>
        </w:tc>
        <w:tc>
          <w:tcPr/>
          <w:p>
            <w:pPr/>
            <w:r>
              <w:rPr/>
              <w:t xml:space="preserve">1,51</w:t>
            </w:r>
          </w:p>
        </w:tc>
        <w:tc>
          <w:tcPr/>
          <w:p>
            <w:pPr/>
            <w:r>
              <w:rPr/>
              <w:t xml:space="preserve"> </w:t>
            </w:r>
          </w:p>
        </w:tc>
      </w:tr>
    </w:tbl>
    <w:p>
      <w:pPr/>
      <w:br/>
      <w:r>
        <w:rPr/>
        <w:t xml:space="preserve">                               Figure 43 : Tableau des niveaux de référence utilisé pour le bilan national du programme sédiment</w:t>
      </w:r>
    </w:p>
    <w:p>
      <w:pPr/>
      <w:r>
        <w:rPr/>
        <w:t xml:space="preserve">                                                du réseau REPOM (mg/Kg de sédiment sec)</w:t>
      </w:r>
    </w:p>
    <w:p>
      <w:pPr/>
      <w:r>
        <w:rPr/>
        <w:t xml:space="preserve">1 – Sédiments dragués :</w:t>
      </w:r>
    </w:p>
    <w:p>
      <w:pPr/>
      <w:r>
        <w:rPr/>
        <w:t xml:space="preserve">Les données seront extraites des études d’impact. </w:t>
      </w:r>
    </w:p>
    <w:p>
      <w:pPr/>
      <w:r>
        <w:rPr/>
        <w:t xml:space="preserve"> </w:t>
      </w:r>
    </w:p>
    <w:p>
      <w:pPr/>
      <w:r>
        <w:rPr/>
        <w:t xml:space="preserve">2 – Sédiments susceptibles d’être dragués :</w:t>
      </w:r>
    </w:p>
    <w:p>
      <w:pPr/>
      <w:r>
        <w:rPr/>
        <w:t xml:space="preserve">Les données d’analyse des sédiments réalisées pour l’indicateur « Carénage » seront exploitées.</w:t>
      </w:r>
    </w:p>
    <w:p>
      <w:pPr/>
      <w:r>
        <w:rPr/>
        <w:t xml:space="preserve"> </w:t>
      </w:r>
    </w:p>
    <w:p>
      <w:pPr/>
      <w:r>
        <w:rPr/>
        <w:t xml:space="preserve">Ces données sont ensuite comparées avec les normes de la grille GEODE. Dès qu’un dépassement est mesuré pour un seul des éléments recherchés, le point est considéré comme dépassant la norme.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sédiments dragués ou susceptibles d’être dragués supérieurs à la norme</w:t>
      </w:r>
    </w:p>
    <w:p>
      <w:pPr/>
      <w:r>
        <w:rPr>
          <w:b w:val="1"/>
          <w:bCs w:val="1"/>
        </w:rPr>
        <w:t xml:space="preserve">Stratégie spatiale</w:t>
      </w:r>
    </w:p>
    <w:p>
      <w:pPr/>
      <w:r>
        <w:rPr/>
        <w:t xml:space="preserve">Echelle du Parc</w:t>
      </w:r>
    </w:p>
    <w:p>
      <w:pPr/>
      <w:r>
        <w:rPr>
          <w:b w:val="1"/>
          <w:bCs w:val="1"/>
        </w:rPr>
        <w:t xml:space="preserve">Stratégie temporelle</w:t>
      </w:r>
    </w:p>
    <w:p>
      <w:pPr/>
      <w:r>
        <w:rPr/>
        <w:t xml:space="preserve">Tous les 3 ans </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En fonction de l’ensemble des résultats collectés pour les sédiments dragués ou susceptibles d’être dragués, le pourcentage de sédiments dont les teneurs en différents éléments sont supérieures à la norme GEODE N1 par rapport à l’ensemble des points suivis estcalculé. Ce résultat donne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métrique calculée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Pourcentage des boues dragués &gt; N1 (%)</w:t>
            </w:r>
          </w:p>
        </w:tc>
        <w:tc>
          <w:tcPr/>
          <w:p>
            <w:pPr/>
            <w:r>
              <w:rPr/>
              <w:t xml:space="preserve"> </w:t>
            </w:r>
          </w:p>
        </w:tc>
        <w:tc>
          <w:tcPr/>
          <w:p>
            <w:pPr/>
            <w:r>
              <w:rPr/>
              <w:t xml:space="preserve">[80-100%]</w:t>
            </w:r>
          </w:p>
        </w:tc>
        <w:tc>
          <w:tcPr/>
          <w:p>
            <w:pPr/>
            <w:r>
              <w:rPr/>
              <w:t xml:space="preserve">[60-80%[</w:t>
            </w:r>
          </w:p>
        </w:tc>
        <w:tc>
          <w:tcPr/>
          <w:p>
            <w:pPr/>
            <w:r>
              <w:rPr/>
              <w:t xml:space="preserve">[40-60%[</w:t>
            </w:r>
          </w:p>
        </w:tc>
        <w:tc>
          <w:tcPr/>
          <w:p>
            <w:pPr/>
            <w:r>
              <w:rPr/>
              <w:t xml:space="preserve">[20-40%[</w:t>
            </w:r>
          </w:p>
        </w:tc>
        <w:tc>
          <w:tcPr/>
          <w:p>
            <w:pPr/>
            <w:r>
              <w:rPr/>
              <w:t xml:space="preserve">[0-20%[</w:t>
            </w:r>
          </w:p>
        </w:tc>
        <w:tc>
          <w:tcPr/>
          <w:p>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2026-05-20T08:23:02+02:00</dcterms:created>
  <dcterms:modified xsi:type="dcterms:W3CDTF">2026-05-20T08:23:02+02:00</dcterms:modified>
</cp:coreProperties>
</file>

<file path=docProps/custom.xml><?xml version="1.0" encoding="utf-8"?>
<Properties xmlns="http://schemas.openxmlformats.org/officeDocument/2006/custom-properties" xmlns:vt="http://schemas.openxmlformats.org/officeDocument/2006/docPropsVTypes"/>
</file>