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Substances hydrophobes dans zones de mouillage et portuaires</w:t>
      </w:r>
    </w:p>
    <w:p>
      <w:pPr/>
      <w:r>
        <w:rPr/>
        <w:t xml:space="preserve">Version du 28/01/2020 à 07:52:28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 substances nocives issues de l’utilisation des produits de carénage sont étudiés par la norme de qualité environnementale (NQE) de la DCE pour les substances hydrophiles ainsi que la concentration des hydrocarbures (HAP), des métaux lourds et des biocides dans les sédiments des zones de mouillage et portuaires.</w:t>
      </w:r>
    </w:p>
    <w:p>
      <w:pPr/>
      <w:r>
        <w:rPr/>
        <w:t xml:space="preserve">L’indicateur « Substances hydrophobes dans les ports et zones de mouillage » permet d’évaluer les concentrations moyennes annuelles en hydrocarbures, métaux lourds et biocides sur les zones de mouillage et portuaires. La lecture de l'indicateur est basé sur l'utilisation des normes de GEODE et des niveaux N1 et N2.</w:t>
      </w:r>
    </w:p>
    <w:p>
      <w:pPr/>
      <w:r>
        <w:rPr>
          <w:color w:val="B79247"/>
          <w:sz w:val="22"/>
          <w:szCs w:val="22"/>
          <w:b w:val="1"/>
          <w:bCs w:val="1"/>
        </w:rPr>
        <w:t xml:space="preserve">Objet évalué</w:t>
      </w:r>
    </w:p>
    <w:p>
      <w:pPr/>
      <w:r>
        <w:rPr/>
        <w:t xml:space="preserve">L’indicateur « Substances hydrophobes dans les ports et zones de mouillage » permet d’évaluer les concentrations moyennes annuelles en hydrocarbures, métaux lourds et biocides sur les zones de mouillage et portuaires.</w:t>
      </w:r>
    </w:p>
    <w:p>
      <w:pPr/>
      <w:r>
        <w:rPr>
          <w:color w:val="B79247"/>
          <w:sz w:val="22"/>
          <w:szCs w:val="22"/>
          <w:b w:val="1"/>
          <w:bCs w:val="1"/>
        </w:rPr>
        <w:t xml:space="preserve">Finalité(s)</w:t>
      </w:r>
    </w:p>
    <w:p>
      <w:pPr/>
      <w:r>
        <w:rPr/>
        <w:t xml:space="preserve">F4. Le bon état des eaux marines</w:t>
      </w:r>
      <w:b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Concentration des contaminants dans le milieu marin - sédiment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Concentration en hydrocarbures (HAP), métaux lourds et biocides dans les sédiments des zones de mouillage et portuaires</w:t>
      </w:r>
    </w:p>
    <w:p>
      <w:pPr/>
      <w:r>
        <w:rPr>
          <w:b w:val="1"/>
          <w:bCs w:val="1"/>
        </w:rPr>
        <w:t xml:space="preserve">Source des données</w:t>
      </w:r>
    </w:p>
    <w:p>
      <w:pPr/>
      <w:r>
        <w:rPr/>
        <w:t xml:space="preserve">Prélèvements réalisés par le Parc</w:t>
      </w:r>
    </w:p>
    <w:p>
      <w:pPr/>
      <w:r>
        <w:rPr>
          <w:b w:val="1"/>
          <w:bCs w:val="1"/>
        </w:rPr>
        <w:t xml:space="preserve">Stratégie spatiale</w:t>
      </w:r>
    </w:p>
    <w:p>
      <w:pPr/>
      <w:r>
        <w:rPr/>
        <w:t xml:space="preserve">Sites de prélèvements définis dans le périmètre du Parc. Par exemple, le PNMI a défini 13 sites de prélèvements.</w:t>
      </w:r>
    </w:p>
    <w:p>
      <w:pPr/>
      <w:r>
        <w:rPr>
          <w:b w:val="1"/>
          <w:bCs w:val="1"/>
        </w:rPr>
        <w:t xml:space="preserve">Stratégie temporelle</w:t>
      </w:r>
    </w:p>
    <w:p>
      <w:pPr/>
      <w:r>
        <w:rPr/>
        <w:t xml:space="preserve">Tous les 3 ans</w:t>
      </w:r>
    </w:p>
    <w:p>
      <w:pPr/>
      <w:r>
        <w:rPr>
          <w:b w:val="1"/>
          <w:bCs w:val="1"/>
        </w:rPr>
        <w:t xml:space="preserve">Moyens humains et matériels</w:t>
      </w:r>
    </w:p>
    <w:p>
      <w:pPr/>
      <w:r>
        <w:rPr/>
        <w:t xml:space="preserve">Matériel : </w:t>
      </w:r>
      <w:br/>
      <w:r>
        <w:rPr/>
        <w:t xml:space="preserve">- embarcation semi-rigide 8 m selon les sites ;</w:t>
      </w:r>
      <w:br/>
      <w:r>
        <w:rPr/>
        <w:t xml:space="preserve">- Pelle/truelle en plastique (pas de métal) ;</w:t>
      </w:r>
      <w:br/>
      <w:r>
        <w:rPr/>
        <w:t xml:space="preserve">- Pot de prélèvement en plastique à large col ;</w:t>
      </w:r>
      <w:br/>
      <w:r>
        <w:rPr/>
        <w:t xml:space="preserve">- étiquettes pour identification du prélèvement avec n° de devis IDHESA ;</w:t>
      </w:r>
      <w:br/>
      <w:r>
        <w:rPr/>
        <w:t xml:space="preserve">- glacière avec pains de glace pour la conservation des échantillons ;</w:t>
      </w:r>
      <w:br/>
      <w:br/>
      <w:r>
        <w:rPr/>
        <w:t xml:space="preserve">Moyens humains :  </w:t>
      </w:r>
      <w:br/>
      <w:r>
        <w:rPr/>
        <w:t xml:space="preserve">4 plongeurs</w:t>
      </w:r>
      <w:br/>
    </w:p>
    <w:p>
      <w:pPr/>
      <w:r>
        <w:rPr>
          <w:b w:val="1"/>
          <w:bCs w:val="1"/>
        </w:rPr>
        <w:t xml:space="preserve">Protocole de récolte</w:t>
      </w:r>
    </w:p>
    <w:p>
      <w:pPr/>
      <w:r>
        <w:rPr/>
        <w:t xml:space="preserve">Les prélèvements sont effectués en plongée sur les zones de mouillage et à proximité des aires de carénage.</w:t>
      </w:r>
    </w:p>
    <w:p>
      <w:pPr/>
      <w:r>
        <w:rPr/>
        <w:t xml:space="preserve">- Approcher le plus doucement possible sur la zone pour ne pas remuer les sédiments.</w:t>
      </w:r>
    </w:p>
    <w:p>
      <w:pPr/>
      <w:r>
        <w:rPr/>
        <w:t xml:space="preserve">- Prélever avec la pelle 300 g de sédiments sur une profondeur de 2 cm environ.</w:t>
      </w:r>
    </w:p>
    <w:p>
      <w:pPr/>
      <w:r>
        <w:rPr/>
        <w:t xml:space="preserve">Les échantillons sont conservés dans la glacière et congelés si stockés, puis ils sont envoyés pour analyses à un laboratoire :</w:t>
      </w:r>
    </w:p>
    <w:p>
      <w:pPr/>
      <w:r>
        <w:rPr/>
        <w:t xml:space="preserve"> </w:t>
      </w:r>
    </w:p>
    <w:p>
      <w:pPr/>
      <w:r>
        <w:rPr/>
        <w:t xml:space="preserve">1 - Analyses chimiques :</w:t>
      </w:r>
    </w:p>
    <w:p>
      <w:pPr/>
      <w:r>
        <w:rPr/>
        <w:t xml:space="preserve">- métaux : Cuivre et Zinc</w:t>
      </w:r>
    </w:p>
    <w:p>
      <w:pPr/>
      <w:r>
        <w:rPr/>
        <w:t xml:space="preserve">- Organo-étains (6)</w:t>
      </w:r>
    </w:p>
    <w:p>
      <w:pPr/>
      <w:r>
        <w:rPr/>
        <w:t xml:space="preserve">- Biocides : Diuron et Irgarol</w:t>
      </w:r>
    </w:p>
    <w:p>
      <w:pPr/>
      <w:r>
        <w:rPr/>
        <w:t xml:space="preserve">Le Groupe d'Etude et d'Observation sur le Dragage et l'Environnement (GEODE) a défini deux niveaux pour les teneurs en différents éléments dans les sédiments : métaux lourds, Polychlorobiphényles (PCB), Tributylétain (TBT) et hydrocarbures aromatiques polycycliques (HAP) dans les sédiments :</w:t>
      </w:r>
    </w:p>
    <w:p>
      <w:pPr/>
      <w:r>
        <w:rPr/>
        <w:t xml:space="preserve">• Niveau 1 : concentrations en contaminant en dessous desquelles l'immersion peut être pratiquée sans études complémentaires,</w:t>
      </w:r>
    </w:p>
    <w:p>
      <w:pPr/>
      <w:r>
        <w:rPr/>
        <w:t xml:space="preserve">• Niveau 2 : concentrations au - dessus desquelles l'immersion est susceptible d'être interdite, sous réserve que cette interdiction soit la solution la moins dommageable pour l'environnement.</w:t>
      </w:r>
    </w:p>
    <w:p>
      <w:pPr/>
      <w:r>
        <w:rPr/>
        <w:t xml:space="preserve">L’arrêté du 9 aout 2006 « Relatif aux niveaux de référence à prendre en compte lors d'une analyse de sédiments marins ou estuariens présents en milieu naturel ou portuaire» complété des diverses propositions effectuées par le groupement GEODE fixe des valeurs guide, exprimées en mg/kg de sédiment sec sur la fraction inférieure à deux millimètres.</w:t>
      </w:r>
    </w:p>
    <w:tbl>
      <w:tblGrid>
        <w:gridCol w:w="0" w:type="dxa"/>
        <w:gridCol w:w="900" w:type="dxa"/>
        <w:gridCol w:w="40" w:type="dxa"/>
        <w:gridCol w:w="40" w:type="dxa"/>
      </w:tblGrid>
      <w:tblPr>
        <w:jc w:val="start"/>
        <w:tblW w:w="0" w:type="auto"/>
        <w:tblLayout w:type="autofit"/>
      </w:tblPr>
      <w:tr>
        <w:trPr/>
        <w:tc>
          <w:tcPr>
            <w:tcW w:w="0" w:type="dxa"/>
            <w:tcMar>
              <w:top w:w="0" w:type="dxa"/>
              <w:start w:w="108" w:type="dxa"/>
              <w:bottom w:w="0" w:type="dxa"/>
              <w:end w:w="108" w:type="dxa"/>
            </w:tcMar>
            <w:vAlign w:val="top"/>
            <w:noWrap/>
          </w:tcPr>
          <w:p>
            <w:pPr>
              <w:jc w:val="center"/>
            </w:pPr>
            <w:r>
              <w:rPr/>
              <w:t xml:space="preserve"> </w:t>
            </w:r>
          </w:p>
        </w:tc>
        <w:tc>
          <w:tcPr>
            <w:tcW w:w="900" w:type="dxa"/>
            <w:tcMar>
              <w:top w:w="0" w:type="dxa"/>
              <w:start w:w="108" w:type="dxa"/>
              <w:bottom w:w="0" w:type="dxa"/>
              <w:end w:w="108" w:type="dxa"/>
            </w:tcMar>
            <w:vAlign w:val="top"/>
            <w:noWrap/>
          </w:tcPr>
          <w:p>
            <w:pPr>
              <w:jc w:val="center"/>
            </w:pPr>
            <w:r>
              <w:rPr/>
              <w:t xml:space="preserve"> </w:t>
            </w:r>
          </w:p>
        </w:tc>
        <w:tc>
          <w:tcPr>
            <w:tcW w:w="40" w:type="dxa"/>
            <w:tcMar>
              <w:top w:w="0" w:type="dxa"/>
              <w:start w:w="108" w:type="dxa"/>
              <w:bottom w:w="0" w:type="dxa"/>
              <w:end w:w="108" w:type="dxa"/>
            </w:tcMar>
            <w:vAlign w:val="top"/>
            <w:noWrap/>
          </w:tcPr>
          <w:p>
            <w:pPr>
              <w:jc w:val="center"/>
            </w:pPr>
            <w:r>
              <w:rPr/>
              <w:t xml:space="preserve">Niveau 1 (mg/Kg)</w:t>
            </w:r>
          </w:p>
        </w:tc>
        <w:tc>
          <w:tcPr>
            <w:tcW w:w="40" w:type="dxa"/>
            <w:tcMar>
              <w:top w:w="0" w:type="dxa"/>
              <w:start w:w="108" w:type="dxa"/>
              <w:bottom w:w="0" w:type="dxa"/>
              <w:end w:w="108" w:type="dxa"/>
            </w:tcMar>
            <w:vAlign w:val="top"/>
            <w:noWrap/>
          </w:tcPr>
          <w:p>
            <w:pPr>
              <w:jc w:val="center"/>
            </w:pPr>
            <w:r>
              <w:rPr/>
              <w:t xml:space="preserve">Niveau 2 (mg/Kg)</w:t>
            </w:r>
          </w:p>
        </w:tc>
      </w:tr>
      <w:tr>
        <w:trPr/>
        <w:tc>
          <w:tcPr>
            <w:tcW w:w="0" w:type="dxa"/>
            <w:tcMar>
              <w:top w:w="0" w:type="dxa"/>
              <w:start w:w="108" w:type="dxa"/>
              <w:bottom w:w="0" w:type="dxa"/>
              <w:end w:w="108" w:type="dxa"/>
            </w:tcMar>
            <w:noWrap/>
          </w:tcPr>
          <w:p>
            <w:pPr>
              <w:jc w:val="center"/>
            </w:pPr>
            <w:r>
              <w:rPr/>
              <w:t xml:space="preserve">métaux</w:t>
            </w:r>
          </w:p>
        </w:tc>
        <w:tc>
          <w:tcPr>
            <w:tcW w:w="900" w:type="dxa"/>
            <w:tcMar>
              <w:top w:w="0" w:type="dxa"/>
              <w:start w:w="108" w:type="dxa"/>
              <w:bottom w:w="0" w:type="dxa"/>
              <w:end w:w="108" w:type="dxa"/>
            </w:tcMar>
            <w:noWrap/>
          </w:tcPr>
          <w:p>
            <w:pPr>
              <w:jc w:val="center"/>
            </w:pPr>
            <w:r>
              <w:rPr/>
              <w:t xml:space="preserve">Arsenic</w:t>
            </w:r>
          </w:p>
        </w:tc>
        <w:tc>
          <w:tcPr>
            <w:tcW w:w="40" w:type="dxa"/>
            <w:tcMar>
              <w:top w:w="0" w:type="dxa"/>
              <w:start w:w="108" w:type="dxa"/>
              <w:bottom w:w="0" w:type="dxa"/>
              <w:end w:w="108" w:type="dxa"/>
            </w:tcMar>
            <w:noWrap/>
          </w:tcPr>
          <w:p>
            <w:pPr>
              <w:jc w:val="center"/>
            </w:pPr>
            <w:r>
              <w:rPr/>
              <w:t xml:space="preserve">25</w:t>
            </w:r>
          </w:p>
        </w:tc>
        <w:tc>
          <w:tcPr>
            <w:tcW w:w="40" w:type="dxa"/>
            <w:tcMar>
              <w:top w:w="0" w:type="dxa"/>
              <w:start w:w="108" w:type="dxa"/>
              <w:bottom w:w="0" w:type="dxa"/>
              <w:end w:w="108" w:type="dxa"/>
            </w:tcMar>
            <w:noWrap/>
          </w:tcPr>
          <w:p>
            <w:pPr>
              <w:jc w:val="center"/>
            </w:pPr>
            <w:r>
              <w:rPr/>
              <w:t xml:space="preserve">50</w:t>
            </w:r>
          </w:p>
        </w:tc>
      </w:tr>
      <w:tr>
        <w:trPr/>
        <w:tc>
          <w:tcPr>
            <w:tcW w:w="900" w:type="dxa"/>
            <w:tcMar>
              <w:top w:w="0" w:type="dxa"/>
              <w:start w:w="108" w:type="dxa"/>
              <w:bottom w:w="0" w:type="dxa"/>
              <w:end w:w="108" w:type="dxa"/>
            </w:tcMar>
            <w:noWrap/>
          </w:tcPr>
          <w:p>
            <w:pPr>
              <w:jc w:val="center"/>
            </w:pPr>
            <w:r>
              <w:rPr/>
              <w:t xml:space="preserve">Cadmium</w:t>
            </w:r>
          </w:p>
        </w:tc>
        <w:tc>
          <w:tcPr>
            <w:tcW w:w="40" w:type="dxa"/>
            <w:tcMar>
              <w:top w:w="0" w:type="dxa"/>
              <w:start w:w="108" w:type="dxa"/>
              <w:bottom w:w="0" w:type="dxa"/>
              <w:end w:w="108" w:type="dxa"/>
            </w:tcMar>
            <w:noWrap/>
          </w:tcPr>
          <w:p>
            <w:pPr>
              <w:jc w:val="center"/>
            </w:pPr>
            <w:r>
              <w:rPr/>
              <w:t xml:space="preserve">1,2</w:t>
            </w:r>
          </w:p>
        </w:tc>
        <w:tc>
          <w:tcPr>
            <w:tcW w:w="40" w:type="dxa"/>
            <w:tcMar>
              <w:top w:w="0" w:type="dxa"/>
              <w:start w:w="108" w:type="dxa"/>
              <w:bottom w:w="0" w:type="dxa"/>
              <w:end w:w="108" w:type="dxa"/>
            </w:tcMar>
            <w:noWrap/>
          </w:tcPr>
          <w:p>
            <w:pPr>
              <w:jc w:val="center"/>
            </w:pPr>
            <w:r>
              <w:rPr/>
              <w:t xml:space="preserve">2,4</w:t>
            </w:r>
          </w:p>
        </w:tc>
      </w:tr>
      <w:tr>
        <w:trPr/>
        <w:tc>
          <w:tcPr>
            <w:tcW w:w="900" w:type="dxa"/>
            <w:tcMar>
              <w:top w:w="0" w:type="dxa"/>
              <w:start w:w="108" w:type="dxa"/>
              <w:bottom w:w="0" w:type="dxa"/>
              <w:end w:w="108" w:type="dxa"/>
            </w:tcMar>
            <w:noWrap/>
          </w:tcPr>
          <w:p>
            <w:pPr>
              <w:jc w:val="center"/>
            </w:pPr>
            <w:r>
              <w:rPr/>
              <w:t xml:space="preserve">Chrome</w:t>
            </w:r>
          </w:p>
        </w:tc>
        <w:tc>
          <w:tcPr>
            <w:tcW w:w="40" w:type="dxa"/>
            <w:tcMar>
              <w:top w:w="0" w:type="dxa"/>
              <w:start w:w="108" w:type="dxa"/>
              <w:bottom w:w="0" w:type="dxa"/>
              <w:end w:w="108" w:type="dxa"/>
            </w:tcMar>
            <w:noWrap/>
          </w:tcPr>
          <w:p>
            <w:pPr>
              <w:jc w:val="center"/>
            </w:pPr>
            <w:r>
              <w:rPr/>
              <w:t xml:space="preserve">90</w:t>
            </w:r>
          </w:p>
        </w:tc>
        <w:tc>
          <w:tcPr>
            <w:tcW w:w="40" w:type="dxa"/>
            <w:tcMar>
              <w:top w:w="0" w:type="dxa"/>
              <w:start w:w="108" w:type="dxa"/>
              <w:bottom w:w="0" w:type="dxa"/>
              <w:end w:w="108" w:type="dxa"/>
            </w:tcMar>
            <w:noWrap/>
          </w:tcPr>
          <w:p>
            <w:pPr>
              <w:jc w:val="center"/>
            </w:pPr>
            <w:r>
              <w:rPr/>
              <w:t xml:space="preserve">180</w:t>
            </w:r>
          </w:p>
        </w:tc>
      </w:tr>
      <w:tr>
        <w:trPr/>
        <w:tc>
          <w:tcPr>
            <w:tcW w:w="900" w:type="dxa"/>
            <w:tcMar>
              <w:top w:w="0" w:type="dxa"/>
              <w:start w:w="108" w:type="dxa"/>
              <w:bottom w:w="0" w:type="dxa"/>
              <w:end w:w="108" w:type="dxa"/>
            </w:tcMar>
            <w:noWrap/>
          </w:tcPr>
          <w:p>
            <w:pPr>
              <w:jc w:val="center"/>
            </w:pPr>
            <w:r>
              <w:rPr/>
              <w:t xml:space="preserve">Cuivre</w:t>
            </w:r>
          </w:p>
        </w:tc>
        <w:tc>
          <w:tcPr>
            <w:tcW w:w="40" w:type="dxa"/>
            <w:tcMar>
              <w:top w:w="0" w:type="dxa"/>
              <w:start w:w="108" w:type="dxa"/>
              <w:bottom w:w="0" w:type="dxa"/>
              <w:end w:w="108" w:type="dxa"/>
            </w:tcMar>
            <w:noWrap/>
          </w:tcPr>
          <w:p>
            <w:pPr>
              <w:jc w:val="center"/>
            </w:pPr>
            <w:r>
              <w:rPr/>
              <w:t xml:space="preserve">45</w:t>
            </w:r>
          </w:p>
        </w:tc>
        <w:tc>
          <w:tcPr>
            <w:tcW w:w="40" w:type="dxa"/>
            <w:tcMar>
              <w:top w:w="0" w:type="dxa"/>
              <w:start w:w="108" w:type="dxa"/>
              <w:bottom w:w="0" w:type="dxa"/>
              <w:end w:w="108" w:type="dxa"/>
            </w:tcMar>
            <w:noWrap/>
          </w:tcPr>
          <w:p>
            <w:pPr>
              <w:jc w:val="center"/>
            </w:pPr>
            <w:r>
              <w:rPr/>
              <w:t xml:space="preserve">90</w:t>
            </w:r>
          </w:p>
        </w:tc>
      </w:tr>
      <w:tr>
        <w:trPr/>
        <w:tc>
          <w:tcPr>
            <w:tcW w:w="900" w:type="dxa"/>
            <w:tcMar>
              <w:top w:w="0" w:type="dxa"/>
              <w:start w:w="108" w:type="dxa"/>
              <w:bottom w:w="0" w:type="dxa"/>
              <w:end w:w="108" w:type="dxa"/>
            </w:tcMar>
            <w:noWrap/>
          </w:tcPr>
          <w:p>
            <w:pPr>
              <w:jc w:val="center"/>
            </w:pPr>
            <w:r>
              <w:rPr/>
              <w:t xml:space="preserve">Mercure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0,8</w:t>
            </w:r>
          </w:p>
        </w:tc>
      </w:tr>
      <w:tr>
        <w:trPr/>
        <w:tc>
          <w:tcPr>
            <w:tcW w:w="900" w:type="dxa"/>
            <w:tcMar>
              <w:top w:w="0" w:type="dxa"/>
              <w:start w:w="108" w:type="dxa"/>
              <w:bottom w:w="0" w:type="dxa"/>
              <w:end w:w="108" w:type="dxa"/>
            </w:tcMar>
            <w:noWrap/>
          </w:tcPr>
          <w:p>
            <w:pPr>
              <w:jc w:val="center"/>
            </w:pPr>
            <w:r>
              <w:rPr/>
              <w:t xml:space="preserve">Plomb</w:t>
            </w:r>
          </w:p>
        </w:tc>
        <w:tc>
          <w:tcPr>
            <w:tcW w:w="40" w:type="dxa"/>
            <w:tcMar>
              <w:top w:w="0" w:type="dxa"/>
              <w:start w:w="108" w:type="dxa"/>
              <w:bottom w:w="0" w:type="dxa"/>
              <w:end w:w="108" w:type="dxa"/>
            </w:tcMar>
            <w:noWrap/>
          </w:tcPr>
          <w:p>
            <w:pPr>
              <w:jc w:val="center"/>
            </w:pPr>
            <w:r>
              <w:rPr/>
              <w:t xml:space="preserve">100</w:t>
            </w:r>
          </w:p>
        </w:tc>
        <w:tc>
          <w:tcPr>
            <w:tcW w:w="40" w:type="dxa"/>
            <w:tcMar>
              <w:top w:w="0" w:type="dxa"/>
              <w:start w:w="108" w:type="dxa"/>
              <w:bottom w:w="0" w:type="dxa"/>
              <w:end w:w="108" w:type="dxa"/>
            </w:tcMar>
            <w:noWrap/>
          </w:tcPr>
          <w:p>
            <w:pPr>
              <w:jc w:val="center"/>
            </w:pPr>
            <w:r>
              <w:rPr/>
              <w:t xml:space="preserve">200</w:t>
            </w:r>
          </w:p>
        </w:tc>
      </w:tr>
      <w:tr>
        <w:trPr/>
        <w:tc>
          <w:tcPr>
            <w:tcW w:w="900" w:type="dxa"/>
            <w:tcMar>
              <w:top w:w="0" w:type="dxa"/>
              <w:start w:w="108" w:type="dxa"/>
              <w:bottom w:w="0" w:type="dxa"/>
              <w:end w:w="108" w:type="dxa"/>
            </w:tcMar>
            <w:noWrap/>
          </w:tcPr>
          <w:p>
            <w:pPr>
              <w:jc w:val="center"/>
            </w:pPr>
            <w:r>
              <w:rPr/>
              <w:t xml:space="preserve">Nickel</w:t>
            </w:r>
          </w:p>
        </w:tc>
        <w:tc>
          <w:tcPr>
            <w:tcW w:w="40" w:type="dxa"/>
            <w:tcMar>
              <w:top w:w="0" w:type="dxa"/>
              <w:start w:w="108" w:type="dxa"/>
              <w:bottom w:w="0" w:type="dxa"/>
              <w:end w:w="108" w:type="dxa"/>
            </w:tcMar>
            <w:noWrap/>
          </w:tcPr>
          <w:p>
            <w:pPr>
              <w:jc w:val="center"/>
            </w:pPr>
            <w:r>
              <w:rPr/>
              <w:t xml:space="preserve">37</w:t>
            </w:r>
          </w:p>
        </w:tc>
        <w:tc>
          <w:tcPr>
            <w:tcW w:w="40" w:type="dxa"/>
            <w:tcMar>
              <w:top w:w="0" w:type="dxa"/>
              <w:start w:w="108" w:type="dxa"/>
              <w:bottom w:w="0" w:type="dxa"/>
              <w:end w:w="108" w:type="dxa"/>
            </w:tcMar>
            <w:noWrap/>
          </w:tcPr>
          <w:p>
            <w:pPr>
              <w:jc w:val="center"/>
            </w:pPr>
            <w:r>
              <w:rPr/>
              <w:t xml:space="preserve">74</w:t>
            </w:r>
          </w:p>
        </w:tc>
      </w:tr>
      <w:tr>
        <w:trPr/>
        <w:tc>
          <w:tcPr>
            <w:tcW w:w="900" w:type="dxa"/>
            <w:tcMar>
              <w:top w:w="0" w:type="dxa"/>
              <w:start w:w="108" w:type="dxa"/>
              <w:bottom w:w="0" w:type="dxa"/>
              <w:end w:w="108" w:type="dxa"/>
            </w:tcMar>
            <w:noWrap/>
          </w:tcPr>
          <w:p>
            <w:pPr>
              <w:jc w:val="center"/>
            </w:pPr>
            <w:r>
              <w:rPr/>
              <w:t xml:space="preserve">Zinc</w:t>
            </w:r>
          </w:p>
        </w:tc>
        <w:tc>
          <w:tcPr>
            <w:tcW w:w="40" w:type="dxa"/>
            <w:tcMar>
              <w:top w:w="0" w:type="dxa"/>
              <w:start w:w="108" w:type="dxa"/>
              <w:bottom w:w="0" w:type="dxa"/>
              <w:end w:w="108" w:type="dxa"/>
            </w:tcMar>
            <w:noWrap/>
          </w:tcPr>
          <w:p>
            <w:pPr>
              <w:jc w:val="center"/>
            </w:pPr>
            <w:r>
              <w:rPr/>
              <w:t xml:space="preserve">276</w:t>
            </w:r>
          </w:p>
        </w:tc>
        <w:tc>
          <w:tcPr>
            <w:tcW w:w="40" w:type="dxa"/>
            <w:tcMar>
              <w:top w:w="0" w:type="dxa"/>
              <w:start w:w="108" w:type="dxa"/>
              <w:bottom w:w="0" w:type="dxa"/>
              <w:end w:w="108" w:type="dxa"/>
            </w:tcMar>
            <w:noWrap/>
          </w:tcPr>
          <w:p>
            <w:pPr>
              <w:jc w:val="center"/>
            </w:pPr>
            <w:r>
              <w:rPr/>
              <w:t xml:space="preserve">552</w:t>
            </w:r>
          </w:p>
        </w:tc>
      </w:tr>
      <w:tr>
        <w:trPr/>
        <w:tc>
          <w:tcPr>
            <w:tcW w:w="0" w:type="dxa"/>
            <w:tcMar>
              <w:top w:w="0" w:type="dxa"/>
              <w:start w:w="108" w:type="dxa"/>
              <w:bottom w:w="0" w:type="dxa"/>
              <w:end w:w="108" w:type="dxa"/>
            </w:tcMar>
            <w:noWrap/>
          </w:tcPr>
          <w:p>
            <w:pPr>
              <w:jc w:val="center"/>
            </w:pPr>
            <w:r>
              <w:rPr/>
              <w:t xml:space="preserve">Polychloro-</w:t>
            </w:r>
          </w:p>
          <w:p>
            <w:pPr>
              <w:jc w:val="center"/>
            </w:pPr>
            <w:r>
              <w:rPr/>
              <w:t xml:space="preserve">biphényles</w:t>
            </w:r>
          </w:p>
        </w:tc>
        <w:tc>
          <w:tcPr>
            <w:tcW w:w="900" w:type="dxa"/>
            <w:tcMar>
              <w:top w:w="0" w:type="dxa"/>
              <w:start w:w="108" w:type="dxa"/>
              <w:bottom w:w="0" w:type="dxa"/>
              <w:end w:w="108" w:type="dxa"/>
            </w:tcMar>
            <w:noWrap/>
          </w:tcPr>
          <w:p>
            <w:pPr>
              <w:jc w:val="center"/>
            </w:pPr>
            <w:r>
              <w:rPr/>
              <w:t xml:space="preserve">PCB28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52</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101</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118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138</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PCB153</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180</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 PCB</w:t>
            </w:r>
          </w:p>
        </w:tc>
        <w:tc>
          <w:tcPr>
            <w:tcW w:w="40" w:type="dxa"/>
            <w:tcMar>
              <w:top w:w="0" w:type="dxa"/>
              <w:start w:w="108" w:type="dxa"/>
              <w:bottom w:w="0" w:type="dxa"/>
              <w:end w:w="108" w:type="dxa"/>
            </w:tcMar>
            <w:noWrap/>
          </w:tcPr>
          <w:p>
            <w:pPr>
              <w:jc w:val="center"/>
            </w:pPr>
            <w:r>
              <w:rPr/>
              <w:t xml:space="preserve">0,5</w:t>
            </w:r>
          </w:p>
        </w:tc>
        <w:tc>
          <w:tcPr>
            <w:tcW w:w="40" w:type="dxa"/>
            <w:tcMar>
              <w:top w:w="0" w:type="dxa"/>
              <w:start w:w="108" w:type="dxa"/>
              <w:bottom w:w="0" w:type="dxa"/>
              <w:end w:w="108" w:type="dxa"/>
            </w:tcMar>
            <w:noWrap/>
          </w:tcPr>
          <w:p>
            <w:pPr>
              <w:jc w:val="center"/>
            </w:pPr>
            <w:r>
              <w:rPr/>
              <w:t xml:space="preserve">1</w:t>
            </w:r>
          </w:p>
        </w:tc>
      </w:tr>
      <w:tr>
        <w:trPr/>
        <w:tc>
          <w:tcPr>
            <w:tcW w:w="0" w:type="dxa"/>
            <w:tcMar>
              <w:top w:w="0" w:type="dxa"/>
              <w:start w:w="108" w:type="dxa"/>
              <w:bottom w:w="0" w:type="dxa"/>
              <w:end w:w="108" w:type="dxa"/>
            </w:tcMar>
            <w:vAlign w:val="top"/>
            <w:noWrap/>
          </w:tcPr>
          <w:p>
            <w:pPr>
              <w:jc w:val="center"/>
            </w:pPr>
            <w:r>
              <w:rPr/>
              <w:t xml:space="preserve">Tributylétain</w:t>
            </w:r>
          </w:p>
        </w:tc>
        <w:tc>
          <w:tcPr>
            <w:tcW w:w="900" w:type="dxa"/>
            <w:tcMar>
              <w:top w:w="0" w:type="dxa"/>
              <w:start w:w="108" w:type="dxa"/>
              <w:bottom w:w="0" w:type="dxa"/>
              <w:end w:w="108" w:type="dxa"/>
            </w:tcMar>
            <w:noWrap/>
          </w:tcPr>
          <w:p>
            <w:pPr>
              <w:jc w:val="center"/>
            </w:pPr>
            <w:r>
              <w:rPr/>
              <w:t xml:space="preserve">TBT</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0,4</w:t>
            </w:r>
          </w:p>
        </w:tc>
      </w:tr>
      <w:tr>
        <w:trPr/>
        <w:tc>
          <w:tcPr>
            <w:tcW w:w="0" w:type="dxa"/>
            <w:tcMar>
              <w:top w:w="0" w:type="dxa"/>
              <w:start w:w="108" w:type="dxa"/>
              <w:bottom w:w="0" w:type="dxa"/>
              <w:end w:w="108" w:type="dxa"/>
            </w:tcMar>
            <w:noWrap/>
          </w:tcPr>
          <w:p>
            <w:pPr>
              <w:jc w:val="center"/>
            </w:pPr>
            <w:r>
              <w:rPr/>
              <w:t xml:space="preserve">Hydrocarbures</w:t>
            </w:r>
          </w:p>
          <w:p>
            <w:pPr>
              <w:jc w:val="center"/>
            </w:pPr>
            <w:r>
              <w:rPr/>
              <w:t xml:space="preserve">Aromatiques</w:t>
            </w:r>
          </w:p>
          <w:p>
            <w:pPr>
              <w:jc w:val="center"/>
            </w:pPr>
            <w:r>
              <w:rPr/>
              <w:t xml:space="preserve">polycycliques</w:t>
            </w:r>
          </w:p>
        </w:tc>
        <w:tc>
          <w:tcPr>
            <w:tcW w:w="900" w:type="dxa"/>
            <w:tcMar>
              <w:top w:w="0" w:type="dxa"/>
              <w:start w:w="108" w:type="dxa"/>
              <w:bottom w:w="0" w:type="dxa"/>
              <w:end w:w="108" w:type="dxa"/>
            </w:tcMar>
            <w:noWrap/>
          </w:tcPr>
          <w:p>
            <w:pPr>
              <w:jc w:val="center"/>
            </w:pPr>
            <w:r>
              <w:rPr/>
              <w:t xml:space="preserve">Benzo(a)pyrène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Benzo(b)fluoranthène</w:t>
            </w:r>
          </w:p>
        </w:tc>
        <w:tc>
          <w:tcPr>
            <w:tcW w:w="40" w:type="dxa"/>
            <w:tcMar>
              <w:top w:w="0" w:type="dxa"/>
              <w:start w:w="108" w:type="dxa"/>
              <w:bottom w:w="0" w:type="dxa"/>
              <w:end w:w="108" w:type="dxa"/>
            </w:tcMar>
            <w:noWrap/>
          </w:tcPr>
          <w:p>
            <w:pPr>
              <w:jc w:val="center"/>
            </w:pPr>
            <w:r>
              <w:rPr/>
              <w:t xml:space="preserve">0,3</w:t>
            </w:r>
          </w:p>
        </w:tc>
        <w:tc>
          <w:tcPr>
            <w:tcW w:w="40" w:type="dxa"/>
            <w:tcMar>
              <w:top w:w="0" w:type="dxa"/>
              <w:start w:w="108" w:type="dxa"/>
              <w:bottom w:w="0" w:type="dxa"/>
              <w:end w:w="108" w:type="dxa"/>
            </w:tcMar>
            <w:noWrap/>
          </w:tcPr>
          <w:p>
            <w:pPr>
              <w:jc w:val="center"/>
            </w:pPr>
            <w:r>
              <w:rPr/>
              <w:t xml:space="preserve">3</w:t>
            </w:r>
          </w:p>
        </w:tc>
      </w:tr>
      <w:tr>
        <w:trPr/>
        <w:tc>
          <w:tcPr>
            <w:tcW w:w="900" w:type="dxa"/>
            <w:tcMar>
              <w:top w:w="0" w:type="dxa"/>
              <w:start w:w="108" w:type="dxa"/>
              <w:bottom w:w="0" w:type="dxa"/>
              <w:end w:w="108" w:type="dxa"/>
            </w:tcMar>
            <w:noWrap/>
          </w:tcPr>
          <w:p>
            <w:pPr>
              <w:jc w:val="center"/>
            </w:pPr>
            <w:r>
              <w:rPr/>
              <w:t xml:space="preserve">Benzo(ghi)perylène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Benzo(k)fluoranthène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2</w:t>
            </w:r>
          </w:p>
        </w:tc>
      </w:tr>
      <w:tr>
        <w:trPr/>
        <w:tc>
          <w:tcPr>
            <w:tcW w:w="900" w:type="dxa"/>
            <w:tcMar>
              <w:top w:w="0" w:type="dxa"/>
              <w:start w:w="108" w:type="dxa"/>
              <w:bottom w:w="0" w:type="dxa"/>
              <w:end w:w="108" w:type="dxa"/>
            </w:tcMar>
            <w:noWrap/>
          </w:tcPr>
          <w:p>
            <w:pPr>
              <w:jc w:val="center"/>
            </w:pPr>
            <w:r>
              <w:rPr/>
              <w:t xml:space="preserve">Fluoranthène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5</w:t>
            </w:r>
          </w:p>
        </w:tc>
      </w:tr>
      <w:tr>
        <w:trPr/>
        <w:tc>
          <w:tcPr>
            <w:tcW w:w="900" w:type="dxa"/>
            <w:tcMar>
              <w:top w:w="0" w:type="dxa"/>
              <w:start w:w="108" w:type="dxa"/>
              <w:bottom w:w="0" w:type="dxa"/>
              <w:end w:w="108" w:type="dxa"/>
            </w:tcMar>
            <w:noWrap/>
          </w:tcPr>
          <w:p>
            <w:pPr>
              <w:jc w:val="center"/>
            </w:pPr>
            <w:r>
              <w:rPr/>
              <w:t xml:space="preserve">Indeno(123cd)pyrène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Acénaphtène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Anthracène</w:t>
            </w:r>
          </w:p>
        </w:tc>
        <w:tc>
          <w:tcPr>
            <w:tcW w:w="40" w:type="dxa"/>
            <w:tcMar>
              <w:top w:w="0" w:type="dxa"/>
              <w:start w:w="108" w:type="dxa"/>
              <w:bottom w:w="0" w:type="dxa"/>
              <w:end w:w="108" w:type="dxa"/>
            </w:tcMar>
            <w:noWrap/>
          </w:tcPr>
          <w:p>
            <w:pPr>
              <w:jc w:val="center"/>
            </w:pPr>
            <w:r>
              <w:rPr/>
              <w:t xml:space="preserve">0,51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Benzo(a)anthracène</w:t>
            </w:r>
          </w:p>
        </w:tc>
        <w:tc>
          <w:tcPr>
            <w:tcW w:w="40" w:type="dxa"/>
            <w:tcMar>
              <w:top w:w="0" w:type="dxa"/>
              <w:start w:w="108" w:type="dxa"/>
              <w:bottom w:w="0" w:type="dxa"/>
              <w:end w:w="108" w:type="dxa"/>
            </w:tcMar>
            <w:noWrap/>
          </w:tcPr>
          <w:p>
            <w:pPr>
              <w:jc w:val="center"/>
            </w:pPr>
            <w:r>
              <w:rPr/>
              <w:t xml:space="preserve">0,71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Benzo(ah)anthracène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Chrysène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Dibenzo(ah)anthracène</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Fluorène</w:t>
            </w:r>
          </w:p>
        </w:tc>
        <w:tc>
          <w:tcPr>
            <w:tcW w:w="40" w:type="dxa"/>
            <w:tcMar>
              <w:top w:w="0" w:type="dxa"/>
              <w:start w:w="108" w:type="dxa"/>
              <w:bottom w:w="0" w:type="dxa"/>
              <w:end w:w="108" w:type="dxa"/>
            </w:tcMar>
            <w:noWrap/>
          </w:tcPr>
          <w:p>
            <w:pPr>
              <w:jc w:val="center"/>
            </w:pPr>
            <w:r>
              <w:rPr/>
              <w:t xml:space="preserve">0,17</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Naphtalène</w:t>
            </w:r>
          </w:p>
        </w:tc>
        <w:tc>
          <w:tcPr>
            <w:tcW w:w="40" w:type="dxa"/>
            <w:tcMar>
              <w:top w:w="0" w:type="dxa"/>
              <w:start w:w="108" w:type="dxa"/>
              <w:bottom w:w="0" w:type="dxa"/>
              <w:end w:w="108" w:type="dxa"/>
            </w:tcMar>
            <w:noWrap/>
          </w:tcPr>
          <w:p>
            <w:pPr>
              <w:jc w:val="center"/>
            </w:pPr>
            <w:r>
              <w:rPr/>
              <w:t xml:space="preserve">0,21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Phénanthrène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pyrène</w:t>
            </w:r>
          </w:p>
        </w:tc>
        <w:tc>
          <w:tcPr>
            <w:tcW w:w="40" w:type="dxa"/>
            <w:tcMar>
              <w:top w:w="0" w:type="dxa"/>
              <w:start w:w="108" w:type="dxa"/>
              <w:bottom w:w="0" w:type="dxa"/>
              <w:end w:w="108" w:type="dxa"/>
            </w:tcMar>
            <w:noWrap/>
          </w:tcPr>
          <w:p>
            <w:pPr>
              <w:jc w:val="center"/>
            </w:pPr>
            <w:r>
              <w:rPr/>
              <w:t xml:space="preserve">1,51</w:t>
            </w:r>
          </w:p>
        </w:tc>
        <w:tc>
          <w:tcPr>
            <w:tcW w:w="40" w:type="dxa"/>
            <w:tcMar>
              <w:top w:w="0" w:type="dxa"/>
              <w:start w:w="108" w:type="dxa"/>
              <w:bottom w:w="0" w:type="dxa"/>
              <w:end w:w="108" w:type="dxa"/>
            </w:tcMar>
            <w:noWrap/>
          </w:tcPr>
          <w:p>
            <w:pPr>
              <w:jc w:val="center"/>
            </w:pPr>
            <w:r>
              <w:rPr/>
              <w:t xml:space="preserve"> </w:t>
            </w:r>
          </w:p>
        </w:tc>
      </w:tr>
    </w:tbl>
    <w:p>
      <w:pPr/>
      <w:br/>
      <w:r>
        <w:rPr/>
        <w:t xml:space="preserve">                               Figure 44 : Tableau des niveaux de référence utilisé pour le bilan national du programme sédiment</w:t>
      </w:r>
    </w:p>
    <w:p>
      <w:pPr/>
      <w:r>
        <w:rPr/>
        <w:t xml:space="preserve">                                                du réseau REPOM (mg/Kg de sédiment sec)</w:t>
      </w:r>
    </w:p>
    <w:p>
      <w:pPr/>
      <w:r>
        <w:rPr/>
        <w:t xml:space="preserve">2 -  Granulométrie : </w:t>
      </w:r>
    </w:p>
    <w:p>
      <w:pPr/>
      <w:r>
        <w:rPr/>
        <w:t xml:space="preserve">Tamisage par classe de taille (intervalle de 2mm) pour interprétation des résultats et comparaisons entre sites.</w:t>
      </w:r>
    </w:p>
    <w:p>
      <w:pPr/>
      <w:r>
        <w:rPr/>
        <w:t xml:space="preserve">Les données sont communiquées aux communes concernées.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Concentration moyenne annuelle en hydrocarbures (HAP), métaux lourds et biocides dans les sédiments des zones de mouillage et portuaires</w:t>
      </w:r>
    </w:p>
    <w:p>
      <w:pPr/>
      <w:r>
        <w:rPr>
          <w:b w:val="1"/>
          <w:bCs w:val="1"/>
        </w:rPr>
        <w:t xml:space="preserve">Stratégie spatiale</w:t>
      </w:r>
    </w:p>
    <w:p>
      <w:pPr/>
      <w:r>
        <w:rPr/>
        <w:t xml:space="preserve">Sites de prélèvements définis dans le périmètre du Parc. Par exemple, le PNMI a défini 13 sites de prélèvements.</w:t>
      </w:r>
    </w:p>
    <w:p>
      <w:pPr/>
      <w:r>
        <w:rPr>
          <w:b w:val="1"/>
          <w:bCs w:val="1"/>
        </w:rPr>
        <w:t xml:space="preserve">Stratégie temporelle</w:t>
      </w:r>
    </w:p>
    <w:p>
      <w:pPr/>
      <w:r>
        <w:rPr/>
        <w:t xml:space="preserve">Tous les 3 ans</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jc w:val="both"/>
      </w:pPr>
      <w:r>
        <w:rPr/>
        <w:t xml:space="preserve">Pour chaque point et chaque molécule recherchée, la concentration moyenne annuelle est calculée.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Tous les 3 ans</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La concentration moyenne annuelle par point et par molécule est comparée à celle de la norme N2 de la grille GEODE. </w:t>
      </w:r>
    </w:p>
    <w:p>
      <w:pPr/>
      <w:r>
        <w:rPr/>
        <w:t xml:space="preserve">Dès lors que la moyenne annuelle calculée pour une seule des molécules est supérieure à la valeur de la norme N2 GEODE, le point est considéré comme mauvais. Si un seul des 21 points est mauvais, la métrique est alors considérée comme étant en mauvais état.</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1500" w:type="dxa"/>
        <w:gridCol w:w="40" w:type="dxa"/>
        <w:gridCol w:w="1100" w:type="dxa"/>
        <w:gridCol w:w="120" w:type="dxa"/>
        <w:gridCol w:w="100" w:type="dxa"/>
        <w:gridCol w:w="0" w:type="dxa"/>
        <w:gridCol w:w="160" w:type="dxa"/>
        <w:gridCol w:w="0" w:type="dxa"/>
      </w:tblGrid>
      <w:tblPr>
        <w:tblW w:w="9360" w:type="dxa"/>
        <w:tblLayout w:type="autofit"/>
      </w:tblPr>
      <w:tr>
        <w:trPr>
          <w:trHeight w:val="243.99999999999997" w:hRule="exact"/>
        </w:trPr>
        <w:tc>
          <w:tcPr>
            <w:tcW w:w="1500" w:type="dxa"/>
            <w:tcMar>
              <w:top w:w="0" w:type="dxa"/>
              <w:start w:w="108" w:type="dxa"/>
              <w:bottom w:w="0" w:type="dxa"/>
              <w:end w:w="108" w:type="dxa"/>
            </w:tcMar>
            <w:noWrap/>
          </w:tcPr>
          <w:p>
            <w:pPr/>
            <w:r>
              <w:rPr/>
              <w:t xml:space="preserve">Métrique</w:t>
            </w:r>
          </w:p>
        </w:tc>
        <w:tc>
          <w:tcPr>
            <w:tcW w:w="40" w:type="dxa"/>
            <w:tcMar>
              <w:top w:w="0" w:type="dxa"/>
              <w:start w:w="108" w:type="dxa"/>
              <w:bottom w:w="0" w:type="dxa"/>
              <w:end w:w="108" w:type="dxa"/>
            </w:tcMar>
            <w:noWrap/>
          </w:tcPr>
          <w:p>
            <w:pPr>
              <w:jc w:val="center"/>
            </w:pPr>
            <w:r>
              <w:rPr/>
              <w:t xml:space="preserve">indéterminé</w:t>
            </w:r>
          </w:p>
        </w:tc>
        <w:tc>
          <w:tcPr>
            <w:tcW w:w="11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2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6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0" w:type="dxa"/>
            <w:tcMar>
              <w:top w:w="0" w:type="dxa"/>
              <w:start w:w="108" w:type="dxa"/>
              <w:bottom w:w="0" w:type="dxa"/>
              <w:end w:w="108" w:type="dxa"/>
            </w:tcMar>
            <w:vAlign w:val="top"/>
            <w:noWrap/>
          </w:tcPr>
          <w:p>
            <w:pPr>
              <w:jc w:val="center"/>
            </w:pPr>
            <w:r>
              <w:rPr/>
              <w:t xml:space="preserve">coefficient de pondération</w:t>
            </w:r>
          </w:p>
        </w:tc>
      </w:tr>
      <w:tr>
        <w:trPr>
          <w:trHeight w:val="995" w:hRule="exact"/>
        </w:trPr>
        <w:tc>
          <w:tcPr>
            <w:tcW w:w="1500" w:type="dxa"/>
            <w:tcMar>
              <w:top w:w="0" w:type="dxa"/>
              <w:start w:w="108" w:type="dxa"/>
              <w:bottom w:w="0" w:type="dxa"/>
              <w:end w:w="108" w:type="dxa"/>
            </w:tcMar>
            <w:vAlign w:val="top"/>
            <w:noWrap/>
          </w:tcPr>
          <w:p>
            <w:pPr/>
            <w:r>
              <w:rPr/>
              <w:t xml:space="preserve">Concentration des hydrocarbures (HAP), des métaux lourds et des biocides dans les sédiments des zones de mouillage et portuaires</w:t>
            </w:r>
          </w:p>
        </w:tc>
        <w:tc>
          <w:tcPr>
            <w:tcW w:w="40" w:type="dxa"/>
            <w:tcMar>
              <w:top w:w="0" w:type="dxa"/>
              <w:start w:w="108" w:type="dxa"/>
              <w:bottom w:w="0" w:type="dxa"/>
              <w:end w:w="108" w:type="dxa"/>
            </w:tcMar>
            <w:noWrap/>
          </w:tcPr>
          <w:p>
            <w:pPr>
              <w:jc w:val="center"/>
            </w:pPr>
            <w:r>
              <w:rPr/>
              <w:t xml:space="preserve"> </w:t>
            </w:r>
          </w:p>
        </w:tc>
        <w:tc>
          <w:tcPr>
            <w:tcW w:w="1300" w:type="dxa"/>
            <w:tcMar>
              <w:top w:w="0" w:type="dxa"/>
              <w:start w:w="108" w:type="dxa"/>
              <w:bottom w:w="0" w:type="dxa"/>
              <w:end w:w="108" w:type="dxa"/>
            </w:tcMar>
            <w:gridSpan w:val="3"/>
            <w:noWrap/>
          </w:tcPr>
          <w:p>
            <w:pPr>
              <w:jc w:val="center"/>
              <w:spacing w:after="195"/>
            </w:pPr>
            <w:r>
              <w:rPr/>
              <w:t xml:space="preserve">&gt; N2</w:t>
            </w:r>
          </w:p>
          <w:p>
            <w:pPr>
              <w:jc w:val="center"/>
            </w:pPr>
            <w:r>
              <w:rPr/>
              <w:t xml:space="preserve"> </w:t>
            </w:r>
          </w:p>
        </w:tc>
        <w:tc>
          <w:tcPr>
            <w:tcW w:w="0" w:type="dxa"/>
            <w:tcMar>
              <w:top w:w="0" w:type="dxa"/>
              <w:start w:w="108" w:type="dxa"/>
              <w:bottom w:w="0" w:type="dxa"/>
              <w:end w:w="108" w:type="dxa"/>
            </w:tcMar>
            <w:noWrap/>
          </w:tcPr>
          <w:p>
            <w:pPr>
              <w:jc w:val="center"/>
            </w:pPr>
            <w:r>
              <w:rPr/>
              <w:t xml:space="preserve">&lt; N2</w:t>
            </w:r>
          </w:p>
        </w:tc>
        <w:tc>
          <w:tcPr>
            <w:tcW w:w="160" w:type="dxa"/>
            <w:tcMar>
              <w:top w:w="0" w:type="dxa"/>
              <w:start w:w="108" w:type="dxa"/>
              <w:bottom w:w="0" w:type="dxa"/>
              <w:end w:w="108" w:type="dxa"/>
            </w:tcMar>
            <w:noWrap/>
          </w:tcPr>
          <w:p>
            <w:pPr>
              <w:jc w:val="center"/>
            </w:pPr>
            <w:r>
              <w:rPr/>
              <w:t xml:space="preserve">&lt; N1</w:t>
            </w:r>
          </w:p>
        </w:tc>
        <w:tc>
          <w:tcPr>
            <w:tcW w:w="0" w:type="dxa"/>
            <w:tcMar>
              <w:top w:w="0" w:type="dxa"/>
              <w:start w:w="108" w:type="dxa"/>
              <w:bottom w:w="0" w:type="dxa"/>
              <w:end w:w="108" w:type="dxa"/>
            </w:tcMar>
            <w:noWrap/>
          </w:tcPr>
          <w:p>
            <w:pPr>
              <w:jc w:val="center"/>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2026-07-06T23:22:27+02:00</dcterms:created>
  <dcterms:modified xsi:type="dcterms:W3CDTF">2026-07-06T23:22:27+02:00</dcterms:modified>
</cp:coreProperties>
</file>

<file path=docProps/custom.xml><?xml version="1.0" encoding="utf-8"?>
<Properties xmlns="http://schemas.openxmlformats.org/officeDocument/2006/custom-properties" xmlns:vt="http://schemas.openxmlformats.org/officeDocument/2006/docPropsVTypes"/>
</file>