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hydrophiles dans les ports et zones de mouillage</w:t>
      </w:r>
    </w:p>
    <w:p>
      <w:pPr/>
      <w:r>
        <w:rPr/>
        <w:t xml:space="preserve">Version du 28/01/2020 à 08:04:28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hydrophiles dans les ports et zones de mouillage » permet d’évaluer les concentrations moyennes annuelles de substances hydrophiles présentes dans l'eau (comparaison par rapport aux normes de qualité environnementale DCE dans les zones de réparation portuaires et de carénage).</w:t>
      </w:r>
    </w:p>
    <w:p>
      <w:pPr/>
      <w:r>
        <w:rPr>
          <w:color w:val="B79247"/>
          <w:sz w:val="22"/>
          <w:szCs w:val="22"/>
          <w:b w:val="1"/>
          <w:bCs w:val="1"/>
        </w:rPr>
        <w:t xml:space="preserve">Objet évalué</w:t>
      </w:r>
    </w:p>
    <w:p>
      <w:pPr/>
      <w:r>
        <w:rPr/>
        <w:t xml:space="preserve">L’indicateur « Substances hydrophiles dans les ports et zones de mouillage » permet d’évaluer les concentrations moyennes annuelles de substances hydrophiles présentes dans l'eau </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Substances hydrophobes dans zones de mouillage et portuaires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en zones de mouillage et portuaires</w:t>
      </w:r>
    </w:p>
    <w:p>
      <w:pPr/>
      <w:r>
        <w:rPr>
          <w:b w:val="1"/>
          <w:bCs w:val="1"/>
        </w:rPr>
        <w:t xml:space="preserve">Source des données</w:t>
      </w:r>
    </w:p>
    <w:p>
      <w:pPr/>
      <w:r>
        <w:rPr/>
        <w:t xml:space="preserve">Prélèvements effectués par le PNMI</w:t>
      </w:r>
    </w:p>
    <w:p>
      <w:pPr/>
      <w:r>
        <w:rPr>
          <w:b w:val="1"/>
          <w:bCs w:val="1"/>
        </w:rPr>
        <w:t xml:space="preserve">Stratégie spatiale</w:t>
      </w:r>
    </w:p>
    <w:p>
      <w:pPr/>
      <w:r>
        <w:rPr/>
        <w:t xml:space="preserve">Les sites de prélèvements sont définis dans le périmètre du Parc. Par exemple, le PNMI a définin15 points de prélèvements</w:t>
      </w:r>
    </w:p>
    <w:p>
      <w:pPr/>
      <w:r>
        <w:rPr>
          <w:b w:val="1"/>
          <w:bCs w:val="1"/>
        </w:rPr>
        <w:t xml:space="preserve">Stratégie temporelle</w:t>
      </w:r>
    </w:p>
    <w:p>
      <w:pPr/>
      <w:r>
        <w:rPr/>
        <w:t xml:space="preserve">Les prélèvements sont mensuels sur l’ensemble des points de suivis pendant 7 mois, d’avril à fin octobre, à marée montante. L’étude est réalisée tous les trois ans.</w:t>
      </w:r>
    </w:p>
    <w:p>
      <w:pPr/>
      <w:r>
        <w:rPr>
          <w:b w:val="1"/>
          <w:bCs w:val="1"/>
        </w:rPr>
        <w:t xml:space="preserve">Moyens humains et matériels</w:t>
      </w:r>
    </w:p>
    <w:p>
      <w:pPr/>
      <w:r>
        <w:rPr/>
        <w:t xml:space="preserve">Matériel : </w:t>
      </w:r>
      <w:br/>
      <w:r>
        <w:rPr/>
        <w:t xml:space="preserve">Pour l’eau :</w:t>
      </w:r>
      <w:br/>
      <w:r>
        <w:rPr/>
        <w:t xml:space="preserve">- Flacons de prélèvements en verre fumé étiquetés</w:t>
      </w:r>
      <w:br/>
      <w:r>
        <w:rPr/>
        <w:t xml:space="preserve">- glacière avec pains de glace pour la conservation des échantillons</w:t>
      </w:r>
      <w:br/>
      <w:r>
        <w:rPr/>
        <w:t xml:space="preserve">- gants</w:t>
      </w:r>
      <w:br/>
      <w:br/>
      <w:r>
        <w:rPr/>
        <w:t xml:space="preserve">Moyens humains : </w:t>
      </w:r>
      <w:br/>
      <w:r>
        <w:rPr/>
        <w:t xml:space="preserve">2 agents par mission</w:t>
      </w:r>
      <w:br/>
    </w:p>
    <w:p>
      <w:pPr/>
      <w:r>
        <w:rPr>
          <w:b w:val="1"/>
          <w:bCs w:val="1"/>
        </w:rPr>
        <w:t xml:space="preserve">Protocole de récolte</w:t>
      </w:r>
    </w:p>
    <w:p>
      <w:pPr>
        <w:jc w:val="both"/>
      </w:pPr>
      <w:r>
        <w:rPr/>
        <w:t xml:space="preserve">Des prélèvements d’eau sont effectués sur chaque site. </w:t>
      </w:r>
    </w:p>
    <w:p>
      <w:pPr>
        <w:jc w:val="both"/>
      </w:pPr>
      <w:r>
        <w:rPr/>
        <w:t xml:space="preserve">Rincer 3 fois le flacon dans l’eau avant de le remplir à moitié (500 ml). Le prélèvement est effectué entre 10 cm et 30 cm de profondeur. Les échantillons sont ensuite conservés dans la glacière puis congelés si stockés avant envoi (dans un délai d’un mois maximum) pour analyses au laboratoire.</w:t>
      </w:r>
    </w:p>
    <w:p>
      <w:pPr>
        <w:jc w:val="both"/>
      </w:pPr>
      <w:r>
        <w:rPr/>
        <w:t xml:space="preserve">Noter les conditions météo ainsi que les éventuelles activités de carénage au moment du prélèvement.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des molécules hydrophiles dans les zones portuaires et de mouillage</w:t>
      </w:r>
    </w:p>
    <w:p>
      <w:pPr/>
      <w:r>
        <w:rPr>
          <w:b w:val="1"/>
          <w:bCs w:val="1"/>
        </w:rPr>
        <w:t xml:space="preserve">Stratégie spatiale</w:t>
      </w:r>
    </w:p>
    <w:p>
      <w:pPr/>
      <w:r>
        <w:rPr>
          <w:b w:val="1"/>
          <w:bCs w:val="1"/>
        </w:rPr>
        <w:t xml:space="preserve">Stratégie temporelle</w:t>
      </w:r>
    </w:p>
    <w:p>
      <w:pPr/>
      <w:r>
        <w:rPr/>
        <w:t xml:space="preserve">mensuellement pendant 7 mois, d'avril à fin octobre</w:t>
      </w:r>
    </w:p>
    <w:p>
      <w:pPr/>
      <w:r>
        <w:rPr>
          <w:b w:val="1"/>
          <w:bCs w:val="1"/>
        </w:rPr>
        <w:t xml:space="preserve">Moyens humains et matériels</w:t>
      </w:r>
    </w:p>
    <w:p>
      <w:pPr/>
      <w:r>
        <w:rPr/>
        <w:t xml:space="preserve">matériel : laboratoire</w:t>
      </w:r>
      <w:br/>
      <w:r>
        <w:rPr/>
        <w:t xml:space="preserve">moyens humains : 1 chargé de mission</w:t>
      </w:r>
    </w:p>
    <w:p>
      <w:pPr/>
      <w:r>
        <w:rPr>
          <w:b w:val="1"/>
          <w:bCs w:val="1"/>
        </w:rPr>
        <w:t xml:space="preserve">Méthode de calcul</w:t>
      </w:r>
    </w:p>
    <w:p>
      <w:pPr>
        <w:jc w:val="both"/>
      </w:pPr>
      <w:r>
        <w:rPr/>
        <w:t xml:space="preserve">Les molécules recherchées dans le pack « analyses antifouling » sont les suivantes :</w:t>
      </w:r>
    </w:p>
    <w:p>
      <w:pPr>
        <w:jc w:val="both"/>
      </w:pPr>
      <w:r>
        <w:rPr/>
        <w:t xml:space="preserve"> </w:t>
      </w:r>
    </w:p>
    <w:p>
      <w:pPr/>
      <w:r>
        <w:rPr/>
        <w:t xml:space="preserve"> </w:t>
      </w:r>
    </w:p>
    <w:p>
      <w:pPr/>
      <w:r>
        <w:rPr/>
        <w:t xml:space="preserve">- Zineb = fongicide</w:t>
      </w:r>
    </w:p>
    <w:p>
      <w:pPr>
        <w:ind w:left="0" w:right="0" w:firstLine="142" w:hanging="0"/>
      </w:pPr>
      <w:r>
        <w:rPr/>
        <w:t xml:space="preserve">- Zinc pyrithione = agent antipelliculaire et bactéricide</w:t>
      </w:r>
    </w:p>
    <w:p>
      <w:pPr/>
      <w:r>
        <w:rPr/>
        <w:t xml:space="preserve">- Diuron = herbicide</w:t>
      </w:r>
    </w:p>
    <w:p>
      <w:pPr/>
      <w:r>
        <w:rPr/>
        <w:t xml:space="preserve">- DCPU = produit de dégradation du diuron</w:t>
      </w:r>
    </w:p>
    <w:p>
      <w:pPr/>
      <w:r>
        <w:rPr/>
        <w:t xml:space="preserve">- DCPMU = produit de dégradation du diuron</w:t>
      </w:r>
    </w:p>
    <w:p>
      <w:pPr>
        <w:jc w:val="both"/>
      </w:pPr>
      <w:r>
        <w:rPr/>
        <w:t xml:space="preserve">- DCA = produit de dégradation de diuron</w:t>
      </w:r>
    </w:p>
    <w:p>
      <w:pPr>
        <w:jc w:val="both"/>
      </w:pPr>
      <w:r>
        <w:rPr/>
        <w:t xml:space="preserve">- Thiram = fongicide</w:t>
      </w:r>
    </w:p>
    <w:p>
      <w:pPr>
        <w:jc w:val="both"/>
      </w:pPr>
      <w:r>
        <w:rPr/>
        <w:t xml:space="preserve">- Diclofluanid = fongicide</w:t>
      </w:r>
    </w:p>
    <w:p>
      <w:pPr>
        <w:jc w:val="both"/>
      </w:pPr>
      <w:r>
        <w:rPr/>
        <w:t xml:space="preserve">- TCMTB = fongicide</w:t>
      </w:r>
    </w:p>
    <w:p>
      <w:pPr>
        <w:jc w:val="both"/>
      </w:pPr>
      <w:r>
        <w:rPr/>
        <w:t xml:space="preserve">- Irgarol = herbicide</w:t>
      </w:r>
    </w:p>
    <w:p>
      <w:pPr>
        <w:jc w:val="both"/>
      </w:pPr>
      <w:r>
        <w:rPr/>
        <w:t xml:space="preserve">- Chlorothalonil = fongicide</w:t>
      </w:r>
    </w:p>
    <w:p>
      <w:pPr>
        <w:jc w:val="both"/>
      </w:pPr>
      <w:r>
        <w:rPr/>
        <w:t xml:space="preserve">Les concentrations sont exprimées en ng.L-1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jc w:val="both"/>
      </w:pPr>
      <w:r>
        <w:rPr/>
        <w:t xml:space="preserve">Pour chaque point, la concentration moyenne annuelle de chacune des substances analysées est calculée. Cette valeur est ensuite évaluée par comparaison avec la norme DCE. </w:t>
      </w:r>
    </w:p>
    <w:p>
      <w:pPr/>
      <w:r>
        <w:rPr>
          <w:color w:val="B79247"/>
          <w:sz w:val="22"/>
          <w:szCs w:val="22"/>
          <w:b w:val="1"/>
          <w:bCs w:val="1"/>
        </w:rPr>
        <w:t xml:space="preserve">Lecture</w:t>
      </w:r>
    </w:p>
    <w:p>
      <w:pPr/>
      <w:r>
        <w:rPr/>
        <w:t xml:space="preserve">Dès lors que la moyenne annuelle calculée pour une seule des molécules est supérieure à la valeur DCE, le point est considéré comme mauvais. Si un seul des 15 points est mauvais, la métrique est alors considérée comme étant en mauvais état. </w:t>
      </w:r>
    </w:p>
    <w:p>
      <w:pPr/>
      <w:r>
        <w:rPr>
          <w:color w:val="B79247"/>
          <w:sz w:val="22"/>
          <w:szCs w:val="22"/>
          <w:b w:val="1"/>
          <w:bCs w:val="1"/>
        </w:rPr>
        <w:t xml:space="preserve">Grille de lecture</w:t>
      </w:r>
    </w:p>
    <w:tbl>
      <w:tblGrid>
        <w:gridCol w:w="700" w:type="dxa"/>
        <w:gridCol w:w="500" w:type="dxa"/>
        <w:gridCol w:w="80" w:type="dxa"/>
        <w:gridCol w:w="120" w:type="dxa"/>
        <w:gridCol w:w="1300" w:type="dxa"/>
        <w:gridCol w:w="120" w:type="dxa"/>
        <w:gridCol w:w="120" w:type="dxa"/>
        <w:gridCol w:w="1700" w:type="dxa"/>
      </w:tblGrid>
      <w:tblPr>
        <w:tblW w:w="9705" w:type="dxa"/>
        <w:tblLayout w:type="autofit"/>
      </w:tblPr>
      <w:tr>
        <w:trPr>
          <w:trHeight w:val="243.99999999999997" w:hRule="exact"/>
        </w:trPr>
        <w:tc>
          <w:tcPr>
            <w:tcW w:w="700" w:type="dxa"/>
            <w:tcMar>
              <w:top w:w="0" w:type="dxa"/>
              <w:start w:w="108" w:type="dxa"/>
              <w:bottom w:w="0" w:type="dxa"/>
              <w:end w:w="108" w:type="dxa"/>
            </w:tcMar>
            <w:noWrap/>
          </w:tcPr>
          <w:p>
            <w:pPr/>
            <w:r>
              <w:rPr/>
              <w:t xml:space="preserve">Métrique</w:t>
            </w:r>
          </w:p>
        </w:tc>
        <w:tc>
          <w:tcPr>
            <w:tcW w:w="500" w:type="dxa"/>
            <w:tcMar>
              <w:top w:w="0" w:type="dxa"/>
              <w:start w:w="108" w:type="dxa"/>
              <w:bottom w:w="0" w:type="dxa"/>
              <w:end w:w="108" w:type="dxa"/>
            </w:tcMar>
            <w:noWrap/>
          </w:tcPr>
          <w:p>
            <w:pPr>
              <w:jc w:val="center"/>
            </w:pPr>
            <w:r>
              <w:rPr/>
              <w:t xml:space="preserve">indéterminé</w:t>
            </w:r>
          </w:p>
        </w:tc>
        <w:tc>
          <w:tcPr>
            <w:tcW w:w="8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3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2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2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700" w:type="dxa"/>
            <w:tcMar>
              <w:top w:w="0" w:type="dxa"/>
              <w:start w:w="108" w:type="dxa"/>
              <w:bottom w:w="0" w:type="dxa"/>
              <w:end w:w="108" w:type="dxa"/>
            </w:tcMar>
            <w:vAlign w:val="top"/>
            <w:noWrap/>
          </w:tcPr>
          <w:p>
            <w:pPr>
              <w:jc w:val="center"/>
            </w:pPr>
            <w:r>
              <w:rPr/>
              <w:t xml:space="preserve">coefficient de pondération</w:t>
            </w:r>
          </w:p>
        </w:tc>
      </w:tr>
      <w:tr>
        <w:trPr>
          <w:trHeight w:val="487.99999999999994" w:hRule="exact"/>
        </w:trPr>
        <w:tc>
          <w:tcPr>
            <w:tcW w:w="700" w:type="dxa"/>
            <w:tcMar>
              <w:top w:w="0" w:type="dxa"/>
              <w:start w:w="108" w:type="dxa"/>
              <w:bottom w:w="0" w:type="dxa"/>
              <w:end w:w="108" w:type="dxa"/>
            </w:tcMar>
            <w:vAlign w:val="top"/>
            <w:noWrap/>
          </w:tcPr>
          <w:p>
            <w:pPr/>
            <w:r>
              <w:rPr/>
              <w:t xml:space="preserve">Norme de Qualité Environnementale (NQE) de la DCE pour les substances hydrophiles</w:t>
            </w:r>
          </w:p>
        </w:tc>
        <w:tc>
          <w:tcPr>
            <w:tcW w:w="500" w:type="dxa"/>
            <w:tcMar>
              <w:top w:w="0" w:type="dxa"/>
              <w:start w:w="108" w:type="dxa"/>
              <w:bottom w:w="0" w:type="dxa"/>
              <w:end w:w="108" w:type="dxa"/>
            </w:tcMar>
            <w:noWrap/>
          </w:tcPr>
          <w:p>
            <w:pPr>
              <w:jc w:val="center"/>
            </w:pPr>
            <w:r>
              <w:rPr/>
              <w:t xml:space="preserve"> </w:t>
            </w:r>
          </w:p>
        </w:tc>
        <w:tc>
          <w:tcPr>
            <w:tcW w:w="0" w:type="dxa"/>
            <w:tcMar>
              <w:top w:w="0" w:type="dxa"/>
              <w:start w:w="108" w:type="dxa"/>
              <w:bottom w:w="0" w:type="dxa"/>
              <w:end w:w="108" w:type="dxa"/>
            </w:tcMar>
            <w:gridSpan w:val="2"/>
            <w:noWrap/>
          </w:tcPr>
          <w:p>
            <w:pPr>
              <w:jc w:val="center"/>
            </w:pPr>
            <w:r>
              <w:rPr/>
              <w:t xml:space="preserve">&gt; NQE</w:t>
            </w:r>
          </w:p>
        </w:tc>
        <w:tc>
          <w:tcPr>
            <w:tcW w:w="1300" w:type="dxa"/>
            <w:tcMar>
              <w:top w:w="0" w:type="dxa"/>
              <w:start w:w="108" w:type="dxa"/>
              <w:bottom w:w="0" w:type="dxa"/>
              <w:end w:w="108" w:type="dxa"/>
            </w:tcMar>
            <w:noWrap/>
          </w:tcPr>
          <w:p>
            <w:pPr>
              <w:jc w:val="center"/>
            </w:pPr>
            <w:r>
              <w:rPr/>
              <w:t xml:space="preserve">= NQE</w:t>
            </w:r>
          </w:p>
        </w:tc>
        <w:tc>
          <w:tcPr>
            <w:tcW w:w="40" w:type="dxa"/>
            <w:tcMar>
              <w:top w:w="0" w:type="dxa"/>
              <w:start w:w="108" w:type="dxa"/>
              <w:bottom w:w="0" w:type="dxa"/>
              <w:end w:w="108" w:type="dxa"/>
            </w:tcMar>
            <w:gridSpan w:val="2"/>
            <w:noWrap/>
          </w:tcPr>
          <w:p>
            <w:pPr>
              <w:jc w:val="center"/>
            </w:pPr>
            <w:r>
              <w:rPr/>
              <w:t xml:space="preserve">&lt; NQE</w:t>
            </w:r>
          </w:p>
        </w:tc>
        <w:tc>
          <w:tcPr>
            <w:tcW w:w="1700" w:type="dxa"/>
            <w:tcMar>
              <w:top w:w="0" w:type="dxa"/>
              <w:start w:w="108" w:type="dxa"/>
              <w:bottom w:w="0" w:type="dxa"/>
              <w:end w:w="108" w:type="dxa"/>
            </w:tcMar>
            <w:noWrap/>
          </w:tcPr>
          <w:p>
            <w:pPr>
              <w:jc w:val="center"/>
            </w:pPr>
            <w:r>
              <w:rPr/>
              <w:t xml:space="preserve">1</w:t>
            </w:r>
          </w:p>
          <w:p>
            <w:pPr>
              <w:jc w:val="center"/>
            </w:pPr>
            <w:r>
              <w:rPr/>
              <w:t xml:space="preserve">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Attention, certaines molécules (antifouling) n'ont pas de seuil NQE affectés dans le cadre de la DCE.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2026-10-06T02:19:46+02:00</dcterms:created>
  <dcterms:modified xsi:type="dcterms:W3CDTF">2026-10-06T02:19:46+02:00</dcterms:modified>
</cp:coreProperties>
</file>

<file path=docProps/custom.xml><?xml version="1.0" encoding="utf-8"?>
<Properties xmlns="http://schemas.openxmlformats.org/officeDocument/2006/custom-properties" xmlns:vt="http://schemas.openxmlformats.org/officeDocument/2006/docPropsVTypes"/>
</file>