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Quantité de polluants (pollution accidentelle)</w:t>
      </w:r>
    </w:p>
    <w:p>
      <w:pPr/>
      <w:r>
        <w:rPr/>
        <w:t xml:space="preserve">Version du 28/01/2020 à 09:45:28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Afin d’évaluer quantitativement la pollution visible, la quantité de polluant observé annuellement, le nombre de signalements de pollution et la proportion d’oiseaux mazoutés sont pris en compte.</w:t>
      </w:r>
    </w:p>
    <w:p>
      <w:pPr/>
      <w:r>
        <w:rPr/>
        <w:t xml:space="preserve">L’indicateur « Quantité polluant » permet d’évaluer la quantité moyenne annuelle estimée (m3) de polluants (hydrocarbures émulsionnés, huiles végétales, autres).</w:t>
      </w:r>
    </w:p>
    <w:p>
      <w:pPr/>
      <w:r>
        <w:rPr>
          <w:color w:val="B79247"/>
          <w:sz w:val="22"/>
          <w:szCs w:val="22"/>
          <w:b w:val="1"/>
          <w:bCs w:val="1"/>
        </w:rPr>
        <w:t xml:space="preserve">Objet évalué</w:t>
      </w:r>
    </w:p>
    <w:p>
      <w:pPr/>
      <w:r>
        <w:rPr/>
        <w:t xml:space="preserve">L’indicateur « Quantité polluant » permet d’évaluer la quantité moyenne annuelle estimée de polluants.</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Quantité de polluants observée</w:t>
      </w:r>
    </w:p>
    <w:p>
      <w:pPr/>
      <w:r>
        <w:rPr>
          <w:b w:val="1"/>
          <w:bCs w:val="1"/>
        </w:rPr>
        <w:t xml:space="preserve">Source des données</w:t>
      </w:r>
    </w:p>
    <w:p>
      <w:pPr/>
      <w:r>
        <w:rPr/>
        <w:t xml:space="preserve">Centre de documentation, de Recherche et d’Expérimentations sur les pollutions accidentelles des Eaux (CEDRE)</w:t>
      </w:r>
      <w:br/>
      <w:r>
        <w:rPr/>
        <w:t xml:space="preserve">Parc Naturel Marin d’Iroise</w:t>
      </w:r>
      <w:b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 les données sont récoltées : 1) de manière opportuniste, 2) par un recensement effectué en fin d’année auprès du CEDRE</w:t>
      </w:r>
    </w:p>
    <w:p>
      <w:pPr/>
      <w:r>
        <w:rPr>
          <w:b w:val="1"/>
          <w:bCs w:val="1"/>
        </w:rPr>
        <w:t xml:space="preserve">Moyens humains et matériels</w:t>
      </w:r>
    </w:p>
    <w:p>
      <w:pPr/>
      <w:r>
        <w:rPr/>
        <w:t xml:space="preserve">Matériel : /</w:t>
      </w:r>
      <w:br/>
      <w:r>
        <w:rPr/>
        <w:t xml:space="preserve">Moyens humains : 1 chargé de mission</w:t>
      </w:r>
      <w:br/>
    </w:p>
    <w:p>
      <w:pPr/>
      <w:r>
        <w:rPr>
          <w:b w:val="1"/>
          <w:bCs w:val="1"/>
        </w:rPr>
        <w:t xml:space="preserve">Protocole de récolte</w:t>
      </w:r>
    </w:p>
    <w:p>
      <w:pPr>
        <w:jc w:val="both"/>
      </w:pPr>
      <w:r>
        <w:rPr/>
        <w:t xml:space="preserve">Une estimation visuelle du volume présent ou de la taille des boulettes d’hydrocarbure retrouvées sur les sites de suivi est effectuée par l’équipe de terrain du Parc naturel marin. Ces données sont complétées par les estimations du CEDRE récupérées en fin d’année et/ou par l’ensemble des déclarations opportunistes qui sont portées à connaissance.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Volume de polluants observé</w:t>
      </w:r>
    </w:p>
    <w:p>
      <w:pPr/>
      <w:r>
        <w:rPr>
          <w:b w:val="1"/>
          <w:bCs w:val="1"/>
        </w:rPr>
        <w:t xml:space="preserve">Stratégie spatiale</w:t>
      </w:r>
    </w:p>
    <w:p>
      <w:pPr/>
      <w:r>
        <w:rPr/>
        <w:t xml:space="preserve">1 - Ensemble du littoral situé dans le périmètre du Parc via les déclarations opportunistes</w:t>
      </w:r>
      <w:br/>
      <w:r>
        <w:rPr/>
        <w:t xml:space="preserve">2 – Sites des suivis « macrodéchets » spécifiques. 3 ont été définis, pour exemple, dans le périmètre du PNM Iroise.</w:t>
      </w:r>
    </w:p>
    <w:p>
      <w:pPr/>
      <w:r>
        <w:rPr>
          <w:b w:val="1"/>
          <w:bCs w:val="1"/>
        </w:rPr>
        <w:t xml:space="preserve">Stratégie temporelle</w:t>
      </w:r>
    </w:p>
    <w:p>
      <w:pPr/>
      <w:r>
        <w:rPr/>
        <w:t xml:space="preserve">L’étude est réalisée chaque année</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site, afin de calculer un volume à partir des boulettes collectées, 3 classes de diamètre sont définies :</w:t>
      </w:r>
    </w:p>
    <w:p>
      <w:pPr>
        <w:jc w:val="both"/>
      </w:pPr>
      <w:r>
        <w:rPr/>
        <w:t xml:space="preserve">- boulettes &lt; 1 cm</w:t>
      </w:r>
    </w:p>
    <w:p>
      <w:pPr>
        <w:jc w:val="both"/>
      </w:pPr>
      <w:r>
        <w:rPr/>
        <w:t xml:space="preserve">- boulettes entre 1 et 10 cm</w:t>
      </w:r>
    </w:p>
    <w:p>
      <w:pPr>
        <w:jc w:val="both"/>
      </w:pPr>
      <w:r>
        <w:rPr/>
        <w:t xml:space="preserve">- boulettes &gt; 10 cm</w:t>
      </w:r>
    </w:p>
    <w:p>
      <w:pPr>
        <w:jc w:val="both"/>
      </w:pPr>
      <w:r>
        <w:rPr/>
        <w:t xml:space="preserve">L’épaisseur de chaque boulette étant estimée, en moyenne, à 1 cm, on calcule le volume estimé de polluant (en m3) pour chaque classe en fonction du nombre total de boulettes dans chaque classe de diamètre.</w:t>
      </w:r>
    </w:p>
    <w:p>
      <w:pPr>
        <w:jc w:val="both"/>
      </w:pPr>
      <w:r>
        <w:rPr/>
        <w:t xml:space="preserve">Volume pour une boulette : aire de cylindre soit π x r² x H</w:t>
      </w:r>
    </w:p>
    <w:p>
      <w:pPr>
        <w:jc w:val="both"/>
      </w:pPr>
      <w:r>
        <w:rPr/>
        <w:t xml:space="preserve">Avec H = 1 cm et r = selon la classe de taille (pour la classe intermédiaire, on prendra la médiane de la classe soit un diamètre des boulettes estimé à 5 cm)</w:t>
      </w:r>
    </w:p>
    <w:p>
      <w:pPr/>
      <w:r>
        <w:rPr/>
        <w:t xml:space="preserve">Pour avoir le volume (ou quantité) par classe de taille, on multiplie par le nombre de boulettes dans chaque classe.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Annuellement</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Les résultats  sont donnés sous forme d’intervalles (puisque la taille des boulettes est répartie selon des classes de taille). La quantité estimée (m3) de polluant observée annuellement est calculée en faisant la somme totale des quantités estimées pour l’ensemble des sites.</w:t>
      </w:r>
    </w:p>
    <w:p>
      <w:pPr/>
      <w:r>
        <w:rPr>
          <w:color w:val="B79247"/>
          <w:sz w:val="22"/>
          <w:szCs w:val="22"/>
          <w:b w:val="1"/>
          <w:bCs w:val="1"/>
        </w:rPr>
        <w:t xml:space="preserve">Lecture</w:t>
      </w:r>
    </w:p>
    <w:p>
      <w:pPr/>
      <w:r>
        <w:rPr/>
        <w:t xml:space="preserve">L'interprétation de l'indicateur se fait selon la grille de lecture suivante.</w:t>
      </w:r>
    </w:p>
    <w:p>
      <w:pPr/>
      <w:r>
        <w:rPr>
          <w:color w:val="B79247"/>
          <w:sz w:val="22"/>
          <w:szCs w:val="22"/>
          <w:b w:val="1"/>
          <w:bCs w:val="1"/>
        </w:rPr>
        <w:t xml:space="preserve">Grille de lecture</w:t>
      </w:r>
    </w:p>
    <w:tbl>
      <w:tblGrid>
        <w:gridCol w:w="180" w:type="dxa"/>
        <w:gridCol w:w="40" w:type="dxa"/>
        <w:gridCol w:w="1700" w:type="dxa"/>
        <w:gridCol w:w="40" w:type="dxa"/>
        <w:gridCol w:w="60" w:type="dxa"/>
        <w:gridCol w:w="40" w:type="dxa"/>
        <w:gridCol w:w="60" w:type="dxa"/>
        <w:gridCol w:w="300" w:type="dxa"/>
      </w:tblGrid>
      <w:tblPr>
        <w:tblW w:w="10395" w:type="dxa"/>
        <w:tblLayout w:type="autofit"/>
      </w:tblPr>
      <w:tr>
        <w:trPr>
          <w:trHeight w:val="474" w:hRule="exact"/>
        </w:trPr>
        <w:tc>
          <w:tcPr>
            <w:tcW w:w="18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7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4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6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4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300" w:type="dxa"/>
            <w:tcMar>
              <w:top w:w="0" w:type="dxa"/>
              <w:start w:w="108" w:type="dxa"/>
              <w:bottom w:w="0" w:type="dxa"/>
              <w:end w:w="108" w:type="dxa"/>
            </w:tcMar>
            <w:vAlign w:val="top"/>
            <w:noWrap/>
          </w:tcPr>
          <w:p>
            <w:pPr>
              <w:jc w:val="center"/>
            </w:pPr>
            <w:r>
              <w:rPr/>
              <w:t xml:space="preserve">coefficient de pondération</w:t>
            </w:r>
          </w:p>
        </w:tc>
      </w:tr>
      <w:tr>
        <w:trPr>
          <w:trHeight w:val="474" w:hRule="exact"/>
        </w:trPr>
        <w:tc>
          <w:tcPr>
            <w:tcW w:w="180" w:type="dxa"/>
            <w:tcMar>
              <w:top w:w="0" w:type="dxa"/>
              <w:start w:w="108" w:type="dxa"/>
              <w:bottom w:w="0" w:type="dxa"/>
              <w:end w:w="108" w:type="dxa"/>
            </w:tcMar>
            <w:vAlign w:val="top"/>
            <w:noWrap/>
          </w:tcPr>
          <w:p>
            <w:pPr/>
            <w:r>
              <w:rPr/>
              <w:t xml:space="preserve">Quantité estimée de polluant observée annuellement (m3)</w:t>
            </w:r>
          </w:p>
        </w:tc>
        <w:tc>
          <w:tcPr>
            <w:tcW w:w="40" w:type="dxa"/>
            <w:tcMar>
              <w:top w:w="0" w:type="dxa"/>
              <w:start w:w="108" w:type="dxa"/>
              <w:bottom w:w="0" w:type="dxa"/>
              <w:end w:w="108" w:type="dxa"/>
            </w:tcMar>
            <w:noWrap/>
          </w:tcPr>
          <w:p>
            <w:pPr>
              <w:jc w:val="center"/>
            </w:pPr>
            <w:r>
              <w:rPr/>
              <w:t xml:space="preserve"> </w:t>
            </w:r>
          </w:p>
        </w:tc>
        <w:tc>
          <w:tcPr>
            <w:tcW w:w="1700" w:type="dxa"/>
            <w:tcMar>
              <w:top w:w="0" w:type="dxa"/>
              <w:start w:w="108" w:type="dxa"/>
              <w:bottom w:w="0" w:type="dxa"/>
              <w:end w:w="108" w:type="dxa"/>
            </w:tcMar>
            <w:noWrap/>
          </w:tcPr>
          <w:p>
            <w:pPr>
              <w:jc w:val="center"/>
            </w:pPr>
            <w:r>
              <w:rPr/>
              <w:t xml:space="preserve">&gt;1</w:t>
            </w:r>
          </w:p>
        </w:tc>
        <w:tc>
          <w:tcPr>
            <w:tcW w:w="40" w:type="dxa"/>
            <w:tcMar>
              <w:top w:w="0" w:type="dxa"/>
              <w:start w:w="108" w:type="dxa"/>
              <w:bottom w:w="0" w:type="dxa"/>
              <w:end w:w="108" w:type="dxa"/>
            </w:tcMar>
            <w:noWrap/>
          </w:tcPr>
          <w:p>
            <w:pPr>
              <w:jc w:val="center"/>
            </w:pPr>
            <w:r>
              <w:rPr/>
              <w:t xml:space="preserve">1</w:t>
            </w:r>
          </w:p>
        </w:tc>
        <w:tc>
          <w:tcPr>
            <w:tcW w:w="60" w:type="dxa"/>
            <w:tcMar>
              <w:top w:w="0" w:type="dxa"/>
              <w:start w:w="108" w:type="dxa"/>
              <w:bottom w:w="0" w:type="dxa"/>
              <w:end w:w="108" w:type="dxa"/>
            </w:tcMar>
            <w:noWrap/>
          </w:tcPr>
          <w:p>
            <w:pPr>
              <w:jc w:val="center"/>
            </w:pPr>
            <w:r>
              <w:rPr/>
              <w:t xml:space="preserve">0,75</w:t>
            </w:r>
          </w:p>
        </w:tc>
        <w:tc>
          <w:tcPr>
            <w:tcW w:w="40" w:type="dxa"/>
            <w:tcMar>
              <w:top w:w="0" w:type="dxa"/>
              <w:start w:w="108" w:type="dxa"/>
              <w:bottom w:w="0" w:type="dxa"/>
              <w:end w:w="108" w:type="dxa"/>
            </w:tcMar>
            <w:noWrap/>
          </w:tcPr>
          <w:p>
            <w:pPr>
              <w:jc w:val="center"/>
            </w:pPr>
            <w:r>
              <w:rPr/>
              <w:t xml:space="preserve">0,50</w:t>
            </w:r>
          </w:p>
        </w:tc>
        <w:tc>
          <w:tcPr>
            <w:tcW w:w="60" w:type="dxa"/>
            <w:tcMar>
              <w:top w:w="0" w:type="dxa"/>
              <w:start w:w="108" w:type="dxa"/>
              <w:bottom w:w="0" w:type="dxa"/>
              <w:end w:w="108" w:type="dxa"/>
            </w:tcMar>
            <w:noWrap/>
          </w:tcPr>
          <w:p>
            <w:pPr>
              <w:jc w:val="center"/>
            </w:pPr>
            <w:r>
              <w:rPr/>
              <w:t xml:space="preserve">0,25</w:t>
            </w:r>
          </w:p>
        </w:tc>
        <w:tc>
          <w:tcPr>
            <w:tcW w:w="30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2026-07-06T21:55:31+02:00</dcterms:created>
  <dcterms:modified xsi:type="dcterms:W3CDTF">2026-07-06T21:55:31+02:00</dcterms:modified>
</cp:coreProperties>
</file>

<file path=docProps/custom.xml><?xml version="1.0" encoding="utf-8"?>
<Properties xmlns="http://schemas.openxmlformats.org/officeDocument/2006/custom-properties" xmlns:vt="http://schemas.openxmlformats.org/officeDocument/2006/docPropsVTypes"/>
</file>