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Signalements pollution</w:t>
      </w:r>
    </w:p>
    <w:p>
      <w:pPr/>
      <w:r>
        <w:rPr/>
        <w:t xml:space="preserve">Version du 28/01/2020 à 09:26:28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Afin d’évaluer quantitativement la pollution visible, la quantité de polluant observé annuellement, le nombre de signalements de pollution et la proportion d’oiseaux mazoutés seront pris en compte.</w:t>
      </w:r>
    </w:p>
    <w:p>
      <w:pPr/>
      <w:r>
        <w:rPr/>
        <w:t xml:space="preserve">L’indicateur « Signalements pollution » permet d’évaluer l'évolution du nombre de signalement de pollution émis.</w:t>
      </w:r>
    </w:p>
    <w:p>
      <w:pPr/>
      <w:r>
        <w:rPr>
          <w:color w:val="B79247"/>
          <w:sz w:val="22"/>
          <w:szCs w:val="22"/>
          <w:b w:val="1"/>
          <w:bCs w:val="1"/>
        </w:rPr>
        <w:t xml:space="preserve">Objet évalué</w:t>
      </w:r>
    </w:p>
    <w:p>
      <w:pPr/>
      <w:r>
        <w:rPr/>
        <w:t xml:space="preserve">L’indicateur « Signalements pollution » permet d’évaluer l'évolution du nombre de signalement de pollution émis.</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r>
        <w:rPr>
          <w:color w:val="B79247"/>
          <w:sz w:val="22"/>
          <w:szCs w:val="22"/>
          <w:b w:val="1"/>
          <w:bCs w:val="1"/>
        </w:rPr>
        <w:t xml:space="preserve">Quantité de polluants (pollution accidentelle)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Signalement de pollutions</w:t>
      </w:r>
    </w:p>
    <w:p>
      <w:pPr/>
      <w:r>
        <w:rPr>
          <w:b w:val="1"/>
          <w:bCs w:val="1"/>
        </w:rPr>
        <w:t xml:space="preserve">Source des données</w:t>
      </w:r>
    </w:p>
    <w:p>
      <w:pPr/>
      <w:r>
        <w:rPr/>
        <w:t xml:space="preserve">CROSS Corsen</w:t>
      </w:r>
      <w:br/>
      <w:r>
        <w:rPr/>
        <w:t xml:space="preserve">Centre de documentation, de Recherche et d’Expérimentations sur les pollutions accidentelles des Eaux (CEDRE)</w:t>
      </w:r>
      <w:br/>
      <w:r>
        <w:rPr/>
        <w:t xml:space="preserve">Préfecture Maritime de l’Atlantique</w:t>
      </w:r>
      <w:br/>
      <w:r>
        <w:rPr/>
        <w:t xml:space="preserve">Préfecture du Finistère</w:t>
      </w:r>
      <w:br/>
      <w:r>
        <w:rPr/>
        <w:t xml:space="preserve">Parc Naturel Marin d’Iroise</w:t>
      </w:r>
      <w:br/>
    </w:p>
    <w:p>
      <w:pPr/>
      <w:r>
        <w:rPr>
          <w:b w:val="1"/>
          <w:bCs w:val="1"/>
        </w:rPr>
        <w:t xml:space="preserve">Stratégie spatiale</w:t>
      </w:r>
    </w:p>
    <w:p>
      <w:pPr/>
      <w:r>
        <w:rPr/>
        <w:t xml:space="preserve">Les données sont récoltées sur l’ensemble du Parc </w:t>
      </w:r>
    </w:p>
    <w:p>
      <w:pPr/>
      <w:r>
        <w:rPr>
          <w:b w:val="1"/>
          <w:bCs w:val="1"/>
        </w:rPr>
        <w:t xml:space="preserve">Stratégie temporelle</w:t>
      </w:r>
    </w:p>
    <w:p>
      <w:pPr/>
      <w:r>
        <w:rPr/>
        <w:t xml:space="preserve">L’étude est menée annuellement. Les données sont récoltées de manière opportuniste mais un recensement sera effectué en fin d’année auprès de l'ensemble des structures concernées.</w:t>
      </w:r>
    </w:p>
    <w:p>
      <w:pPr/>
      <w:r>
        <w:rPr>
          <w:b w:val="1"/>
          <w:bCs w:val="1"/>
        </w:rPr>
        <w:t xml:space="preserve">Moyens humains et matériels</w:t>
      </w:r>
    </w:p>
    <w:p>
      <w:pPr/>
      <w:r>
        <w:rPr/>
        <w:t xml:space="preserve">Matériel : /</w:t>
      </w:r>
      <w:br/>
      <w:r>
        <w:rPr/>
        <w:t xml:space="preserve">Moyens humains : 1 chargé de mission</w:t>
      </w:r>
      <w:br/>
    </w:p>
    <w:p>
      <w:pPr/>
      <w:r>
        <w:rPr>
          <w:b w:val="1"/>
          <w:bCs w:val="1"/>
        </w:rPr>
        <w:t xml:space="preserve">Protocole de récolte</w:t>
      </w:r>
    </w:p>
    <w:p>
      <w:pPr>
        <w:jc w:val="both"/>
      </w:pPr>
      <w:r>
        <w:rPr/>
        <w:t xml:space="preserve">Sont considérés comme pollution suivis dans le cadre de cette métrique : hydrocarbures et containers pouvant contenir des produits chimiques.</w:t>
      </w:r>
    </w:p>
    <w:p>
      <w:pPr>
        <w:jc w:val="both"/>
      </w:pPr>
      <w:r>
        <w:rPr/>
        <w:t xml:space="preserve">Afin d’obtenir un maximum de données, un recensement est effectué auprès de plusieurs structures, en plus des observations effectuées directement par l’équipe de terrain du Parc naturel marin d’Iroise et des diverses données opportunistes éventuellement transmises par des observateurs.</w:t>
      </w:r>
    </w:p>
    <w:p>
      <w:pPr>
        <w:jc w:val="both"/>
      </w:pPr>
      <w:r>
        <w:rPr/>
        <w:t xml:space="preserve">Les données issues du CROSS CORSEN figurent dans le rapport POLREP annuel obtenu auprès du CEDRE en fin d’année.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de signalements de pollutions</w:t>
      </w:r>
    </w:p>
    <w:p>
      <w:pPr/>
      <w:r>
        <w:rPr>
          <w:b w:val="1"/>
          <w:bCs w:val="1"/>
        </w:rPr>
        <w:t xml:space="preserve">Stratégie spatiale</w:t>
      </w:r>
    </w:p>
    <w:p>
      <w:pPr/>
      <w:r>
        <w:rPr/>
        <w:t xml:space="preserve">Les données sont récoltées sur l’ensemble du Parc.</w:t>
      </w:r>
    </w:p>
    <w:p>
      <w:pPr/>
      <w:r>
        <w:rPr>
          <w:b w:val="1"/>
          <w:bCs w:val="1"/>
        </w:rPr>
        <w:t xml:space="preserve">Stratégie temporelle</w:t>
      </w:r>
    </w:p>
    <w:p>
      <w:pPr/>
      <w:r>
        <w:rPr/>
        <w:t xml:space="preserve">L’étude est menée annuellement. Les données sont récoltées de manière opportuniste mais un recensement sera effectué en fin d’année auprès des structures concernées.</w:t>
      </w:r>
    </w:p>
    <w:p>
      <w:pPr/>
      <w:r>
        <w:rPr>
          <w:b w:val="1"/>
          <w:bCs w:val="1"/>
        </w:rPr>
        <w:t xml:space="preserve">Moyens humains et matériels</w:t>
      </w:r>
    </w:p>
    <w:p>
      <w:pPr/>
      <w:r>
        <w:rPr/>
        <w:t xml:space="preserve">Matériel : /</w:t>
      </w:r>
      <w:br/>
      <w:r>
        <w:rPr/>
        <w:t xml:space="preserve">Moyens humains : 1 chargé de mission</w:t>
      </w:r>
      <w:br/>
    </w:p>
    <w:p>
      <w:pPr/>
      <w:r>
        <w:rPr>
          <w:b w:val="1"/>
          <w:bCs w:val="1"/>
        </w:rPr>
        <w:t xml:space="preserve">Méthode de calcul</w:t>
      </w:r>
    </w:p>
    <w:p>
      <w:pPr/>
      <w:r>
        <w:rPr/>
        <w:t xml:space="preserve">La métrique correspond au nombre total de signalements de pollution émis, toutes structures confondues.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une fois par an</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L'indicateur se définit comme l'évolution du nombre de signalements de pollution émis, toutes structures confondues et à l'échelle du Parc.</w:t>
      </w:r>
    </w:p>
    <w:p>
      <w:pPr/>
      <w:r>
        <w:rPr>
          <w:color w:val="B79247"/>
          <w:sz w:val="22"/>
          <w:szCs w:val="22"/>
          <w:b w:val="1"/>
          <w:bCs w:val="1"/>
        </w:rPr>
        <w:t xml:space="preserve">Lecture</w:t>
      </w:r>
    </w:p>
    <w:p>
      <w:pPr/>
      <w:r>
        <w:rPr/>
        <w:t xml:space="preserve">La grille de lecture est basée sur les tendances</w:t>
      </w:r>
    </w:p>
    <w:p>
      <w:pPr/>
      <w:r>
        <w:rPr>
          <w:color w:val="B79247"/>
          <w:sz w:val="22"/>
          <w:szCs w:val="22"/>
          <w:b w:val="1"/>
          <w:bCs w:val="1"/>
        </w:rPr>
        <w:t xml:space="preserve">Grille de lecture</w:t>
      </w:r>
    </w:p>
    <w:tbl>
      <w:tblGrid>
        <w:gridCol w:w="180" w:type="dxa"/>
        <w:gridCol w:w="1700" w:type="dxa"/>
        <w:gridCol w:w="1700" w:type="dxa"/>
        <w:gridCol w:w="40" w:type="dxa"/>
        <w:gridCol w:w="60" w:type="dxa"/>
        <w:gridCol w:w="40" w:type="dxa"/>
        <w:gridCol w:w="60" w:type="dxa"/>
        <w:gridCol w:w="300" w:type="dxa"/>
      </w:tblGrid>
      <w:tblPr>
        <w:tblW w:w="10380" w:type="dxa"/>
        <w:tblLayout w:type="autofit"/>
      </w:tblPr>
      <w:tr>
        <w:trPr>
          <w:trHeight w:val="474" w:hRule="exact"/>
        </w:trPr>
        <w:tc>
          <w:tcPr>
            <w:tcW w:w="180" w:type="dxa"/>
            <w:tcMar>
              <w:top w:w="0" w:type="dxa"/>
              <w:start w:w="108" w:type="dxa"/>
              <w:bottom w:w="0" w:type="dxa"/>
              <w:end w:w="108" w:type="dxa"/>
            </w:tcMar>
            <w:noWrap/>
          </w:tcPr>
          <w:p>
            <w:pPr/>
            <w:r>
              <w:rPr/>
              <w:t xml:space="preserve">Métrique</w:t>
            </w:r>
          </w:p>
        </w:tc>
        <w:tc>
          <w:tcPr>
            <w:tcW w:w="1700" w:type="dxa"/>
            <w:tcMar>
              <w:top w:w="0" w:type="dxa"/>
              <w:start w:w="108" w:type="dxa"/>
              <w:bottom w:w="0" w:type="dxa"/>
              <w:end w:w="108" w:type="dxa"/>
            </w:tcMar>
            <w:noWrap/>
          </w:tcPr>
          <w:p>
            <w:pPr>
              <w:jc w:val="center"/>
            </w:pPr>
            <w:r>
              <w:rPr/>
              <w:t xml:space="preserve">indéterminé</w:t>
            </w:r>
          </w:p>
        </w:tc>
        <w:tc>
          <w:tcPr>
            <w:tcW w:w="170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4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6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4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6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300" w:type="dxa"/>
            <w:tcMar>
              <w:top w:w="0" w:type="dxa"/>
              <w:start w:w="108" w:type="dxa"/>
              <w:bottom w:w="0" w:type="dxa"/>
              <w:end w:w="108" w:type="dxa"/>
            </w:tcMar>
            <w:vAlign w:val="top"/>
            <w:noWrap/>
          </w:tcPr>
          <w:p>
            <w:pPr>
              <w:jc w:val="center"/>
            </w:pPr>
            <w:r>
              <w:rPr/>
              <w:t xml:space="preserve">coefficient de pondération</w:t>
            </w:r>
          </w:p>
        </w:tc>
      </w:tr>
      <w:tr>
        <w:trPr>
          <w:trHeight w:val="218.99999999999997" w:hRule="exact"/>
        </w:trPr>
        <w:tc>
          <w:tcPr>
            <w:tcW w:w="180" w:type="dxa"/>
            <w:tcMar>
              <w:top w:w="0" w:type="dxa"/>
              <w:start w:w="108" w:type="dxa"/>
              <w:bottom w:w="0" w:type="dxa"/>
              <w:end w:w="108" w:type="dxa"/>
            </w:tcMar>
            <w:vAlign w:val="top"/>
            <w:noWrap/>
          </w:tcPr>
          <w:p>
            <w:pPr/>
            <w:r>
              <w:rPr/>
              <w:t xml:space="preserve">Nombre de signalements de pollution</w:t>
            </w:r>
          </w:p>
        </w:tc>
        <w:tc>
          <w:tcPr>
            <w:tcW w:w="1700" w:type="dxa"/>
            <w:tcMar>
              <w:top w:w="0" w:type="dxa"/>
              <w:start w:w="108" w:type="dxa"/>
              <w:bottom w:w="0" w:type="dxa"/>
              <w:end w:w="108" w:type="dxa"/>
            </w:tcMar>
            <w:noWrap/>
          </w:tcPr>
          <w:p>
            <w:pPr>
              <w:jc w:val="center"/>
            </w:pPr>
            <w:r>
              <w:rPr/>
              <w:t xml:space="preserve"> </w:t>
            </w:r>
          </w:p>
        </w:tc>
        <w:tc>
          <w:tcPr>
            <w:tcW w:w="1700" w:type="dxa"/>
            <w:tcMar>
              <w:top w:w="0" w:type="dxa"/>
              <w:start w:w="108" w:type="dxa"/>
              <w:bottom w:w="0" w:type="dxa"/>
              <w:end w:w="108" w:type="dxa"/>
            </w:tcMar>
            <w:noWrap/>
          </w:tcPr>
          <w:p>
            <w:pPr>
              <w:jc w:val="center"/>
            </w:pPr>
            <w:r>
              <w:rPr/>
              <w:t xml:space="preserve"> </w:t>
            </w:r>
          </w:p>
        </w:tc>
        <w:tc>
          <w:tcPr>
            <w:tcW w:w="40" w:type="dxa"/>
            <w:tcMar>
              <w:top w:w="0" w:type="dxa"/>
              <w:start w:w="108" w:type="dxa"/>
              <w:bottom w:w="0" w:type="dxa"/>
              <w:end w:w="108" w:type="dxa"/>
            </w:tcMar>
            <w:noWrap/>
          </w:tcPr>
          <w:p>
            <w:pPr>
              <w:jc w:val="center"/>
            </w:pPr>
            <w:r>
              <w:rPr/>
              <w:t xml:space="preserve"> </w:t>
            </w:r>
          </w:p>
        </w:tc>
        <w:tc>
          <w:tcPr>
            <w:tcW w:w="60" w:type="dxa"/>
            <w:tcMar>
              <w:top w:w="0" w:type="dxa"/>
              <w:start w:w="108" w:type="dxa"/>
              <w:bottom w:w="0" w:type="dxa"/>
              <w:end w:w="108" w:type="dxa"/>
            </w:tcMar>
            <w:noWrap/>
          </w:tcPr>
          <w:p>
            <w:pPr>
              <w:jc w:val="center"/>
            </w:pPr>
            <w:r>
              <w:rPr/>
              <w:t xml:space="preserve">évolution</w:t>
            </w:r>
          </w:p>
        </w:tc>
        <w:tc>
          <w:tcPr>
            <w:tcW w:w="40" w:type="dxa"/>
            <w:tcMar>
              <w:top w:w="0" w:type="dxa"/>
              <w:start w:w="108" w:type="dxa"/>
              <w:bottom w:w="0" w:type="dxa"/>
              <w:end w:w="108" w:type="dxa"/>
            </w:tcMar>
            <w:noWrap/>
          </w:tcPr>
          <w:p>
            <w:pPr>
              <w:jc w:val="center"/>
            </w:pPr>
            <w:r>
              <w:rPr/>
              <w:t xml:space="preserve"> </w:t>
            </w:r>
          </w:p>
        </w:tc>
        <w:tc>
          <w:tcPr>
            <w:tcW w:w="60" w:type="dxa"/>
            <w:tcMar>
              <w:top w:w="0" w:type="dxa"/>
              <w:start w:w="108" w:type="dxa"/>
              <w:bottom w:w="0" w:type="dxa"/>
              <w:end w:w="108" w:type="dxa"/>
            </w:tcMar>
            <w:noWrap/>
          </w:tcPr>
          <w:p>
            <w:pPr>
              <w:jc w:val="center"/>
            </w:pPr>
            <w:r>
              <w:rPr/>
              <w:t xml:space="preserve"> </w:t>
            </w:r>
          </w:p>
        </w:tc>
        <w:tc>
          <w:tcPr>
            <w:tcW w:w="300" w:type="dxa"/>
            <w:tcMar>
              <w:top w:w="0" w:type="dxa"/>
              <w:start w:w="108" w:type="dxa"/>
              <w:bottom w:w="0" w:type="dxa"/>
              <w:end w:w="108" w:type="dxa"/>
            </w:tcMar>
            <w:noWrap/>
          </w:tcPr>
          <w:p>
            <w:pPr>
              <w:jc w:val="center"/>
            </w:pPr>
            <w:r>
              <w:rPr/>
              <w:t xml:space="preserve">1</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t xml:space="preserve">Le calcul de la métrique ne permet pas de savoir si l'évolution du nombre de signalement est due à une évolution du nombre de pollutions ou de la sensibilisation des personnes à transmettre ce genre d'informations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2026-10-06T02:19:46+02:00</dcterms:created>
  <dcterms:modified xsi:type="dcterms:W3CDTF">2026-10-06T02:19:46+02:00</dcterms:modified>
</cp:coreProperties>
</file>

<file path=docProps/custom.xml><?xml version="1.0" encoding="utf-8"?>
<Properties xmlns="http://schemas.openxmlformats.org/officeDocument/2006/custom-properties" xmlns:vt="http://schemas.openxmlformats.org/officeDocument/2006/docPropsVTypes"/>
</file>