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000000"/>
          <w:sz w:val="40"/>
          <w:szCs w:val="40"/>
          <w:b w:val="1"/>
          <w:bCs w:val="1"/>
          <w:smallCaps w:val="0"/>
          <w:caps w:val="1"/>
        </w:rPr>
        <w:t xml:space="preserve">Oiseaux mazoutés</w:t>
      </w:r>
    </w:p>
    <w:p>
      <w:pPr/>
      <w:r>
        <w:rPr/>
        <w:t xml:space="preserve">Version du 28/01/2020 à 09:43:28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DÉFINITIONS ET PRINCIPALES CARACTÉRISTIQUES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Définitions et objectifs</w:t>
      </w:r>
    </w:p>
    <w:p>
      <w:pPr/>
      <w:r>
        <w:rPr/>
        <w:t xml:space="preserve">Afin d’évaluer quantitativement la pollution visible, la quantité de polluant observé annuellement, le nombre de signalements de pollution et la proportion d’oiseaux mazoutés seront pris en compte.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Objet évalué</w:t>
      </w:r>
    </w:p>
    <w:p>
      <w:pPr/>
      <w:r>
        <w:rPr/>
        <w:t xml:space="preserve">L’indicateur « Oiseaux mazoutés » permet d’évaluer la proportion d'oiseaux échoués mazoutés par rapport à l'ensemble des oiseaux échoués dans l'AMP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Finalité(s)</w:t>
      </w:r>
    </w:p>
    <w:p>
      <w:pPr/>
      <w:r>
        <w:rPr/>
        <w:t xml:space="preserve">F4. Le bon état des eaux marines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Déclinaison locale des finalités</w:t>
      </w:r>
    </w:p>
    <w:p>
      <w:pPr/>
      <w:r>
        <w:rPr/>
        <w:t xml:space="preserve">PNM Iroise : 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Réglementation</w:t>
      </w:r>
    </w:p>
    <w:p>
      <w:pPr/>
      <w:r>
        <w:rPr/>
        <w:t xml:space="preserve">DCSMM [Directive-cadre Stratégie pour le milieu marin]</w:t>
      </w:r>
      <w:br/>
      <w:r>
        <w:rPr/>
        <w:t xml:space="preserve">OSPAR [Convention pour la protection du milieu marin de l'Atlantique du Nord-Est]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Ecorégion</w:t>
      </w:r>
    </w:p>
    <w:p>
      <w:pPr/>
      <w:r>
        <w:rPr/>
        <w:t xml:space="preserve">Océan mondial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DPSIR</w:t>
      </w:r>
    </w:p>
    <w:p>
      <w:pPr/>
      <w:r>
        <w:rPr/>
        <w:t xml:space="preserve">Impacts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Référence principale</w:t>
      </w:r>
    </w:p>
    <w:p>
      <w:pPr/>
      <w:r>
        <w:rPr/>
        <w:t xml:space="preserve">Anonyme, 2008, Protocole écoQO OSPAR, xxp.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Indicateurs corrélés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Quantité de polluants (pollution accidentelle)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Signalements pollution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PRODUCTION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Données brutes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Recensement d'oiseaux mazoutés</w:t>
      </w:r>
    </w:p>
    <w:p>
      <w:pPr/>
      <w:r>
        <w:rPr>
          <w:b w:val="1"/>
          <w:bCs w:val="1"/>
        </w:rPr>
        <w:t xml:space="preserve">Source des données</w:t>
      </w:r>
    </w:p>
    <w:p>
      <w:pPr/>
      <w:r>
        <w:rPr/>
        <w:t xml:space="preserve">CROSS Corsen</w:t>
      </w:r>
      <w:br/>
      <w:r>
        <w:rPr/>
        <w:t xml:space="preserve">Centre de documentation, de Recherche et d’Expérimentations sur les pollutions accidentelles des Eaux (CEDRE)</w:t>
      </w:r>
      <w:br/>
      <w:r>
        <w:rPr/>
        <w:t xml:space="preserve">Préfecture Maritime de l’Atlantique</w:t>
      </w:r>
      <w:br/>
      <w:r>
        <w:rPr/>
        <w:t xml:space="preserve">Préfecture du Finistère</w:t>
      </w:r>
      <w:br/>
      <w:r>
        <w:rPr/>
        <w:t xml:space="preserve">PNMI</w:t>
      </w:r>
      <w:br/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Les données sont récoltées sur l’ensemble du Parc.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L’étude est menée annuellement. Les données sont récoltées de manière opportuniste et un recensement est effectué en fin d’année auprès des structures concernées.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Matériel : /</w:t>
      </w:r>
      <w:br/>
      <w:r>
        <w:rPr/>
        <w:t xml:space="preserve">Moyens humains : 1 chargé de mission</w:t>
      </w:r>
      <w:br/>
    </w:p>
    <w:p>
      <w:pPr/>
      <w:r>
        <w:rPr>
          <w:b w:val="1"/>
          <w:bCs w:val="1"/>
        </w:rPr>
        <w:t xml:space="preserve">Protocole de récolte</w:t>
      </w:r>
    </w:p>
    <w:p>
      <w:pPr>
        <w:jc w:val="both"/>
      </w:pPr>
      <w:r>
        <w:rPr/>
        <w:t xml:space="preserve">Un recensement des données opportunistes transmises est effectué auprès de l’ensemble des organismes impliqués dans les suivis de pollution.</w:t>
      </w:r>
    </w:p>
    <w:p>
      <w:pPr>
        <w:jc w:val="both"/>
      </w:pPr>
      <w:r>
        <w:rPr/>
        <w:t xml:space="preserve">Les données concernant les oiseaux mazoutés sont également extraites des données issues du suivi « macrodéchets ».</w:t>
      </w:r>
    </w:p>
    <w:p>
      <w:pPr/>
      <w:r>
        <w:rPr>
          <w:b w:val="1"/>
          <w:bCs w:val="1"/>
        </w:rPr>
        <w:t xml:space="preserve">Référentiel(s) utilisé(s)</w:t>
      </w:r>
    </w:p>
    <w:p>
      <w:pPr/>
      <w:r>
        <w:rPr>
          <w:b w:val="1"/>
          <w:bCs w:val="1"/>
        </w:rPr>
        <w:t xml:space="preserve">Base(s) de données utilisée(s)</w:t>
      </w:r>
    </w:p>
    <w:p>
      <w:pPr/>
      <w:r>
        <w:rPr>
          <w:b w:val="1"/>
          <w:bCs w:val="1"/>
        </w:rPr>
        <w:t xml:space="preserve">Précisions</w:t>
      </w:r>
    </w:p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Métriques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Nombre d'oiseaux mazoutés</w:t>
      </w:r>
    </w:p>
    <w:p>
      <w:pPr/>
      <w:r>
        <w:rPr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b w:val="1"/>
          <w:bCs w:val="1"/>
        </w:rPr>
        <w:t xml:space="preserve">Stratégie temporelle</w:t>
      </w:r>
    </w:p>
    <w:p>
      <w:pPr/>
      <w:r>
        <w:rPr/>
        <w:t xml:space="preserve">Annuellement, sur la base des données collectées sur l'année</w:t>
      </w:r>
    </w:p>
    <w:p>
      <w:pPr/>
      <w:r>
        <w:rPr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b w:val="1"/>
          <w:bCs w:val="1"/>
        </w:rPr>
        <w:t xml:space="preserve">Méthode de calcul</w:t>
      </w:r>
    </w:p>
    <w:p>
      <w:pPr/>
      <w:r>
        <w:rPr/>
        <w:t xml:space="preserve">Le nombre total d'oiseaux mazoutés recensés à l'échelle du Parc par l'ensemble des structures concernées est calculé.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INDICATEUR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Stratégie spatiale</w:t>
      </w:r>
    </w:p>
    <w:p>
      <w:pPr/>
      <w:r>
        <w:rPr/>
        <w:t xml:space="preserve">A l'échelle du Parc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Stratégie temporelle</w:t>
      </w:r>
    </w:p>
    <w:p>
      <w:pPr/>
      <w:r>
        <w:rPr/>
        <w:t xml:space="preserve">Annuellement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Moyens humains et matériels</w:t>
      </w:r>
    </w:p>
    <w:p>
      <w:pPr/>
      <w:r>
        <w:rPr/>
        <w:t xml:space="preserve">Moyens humains : 1 chargé de mission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Méthode de calcul</w:t>
      </w:r>
    </w:p>
    <w:p>
      <w:pPr/>
      <w:r>
        <w:rPr/>
        <w:t xml:space="preserve">L'indicateur se calculer en faisant le rapport entre le nombre d’oiseaux échoués mazoutés et l’ensemble des oiseaux échoués au sein du périmètre du Parc.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Lecture</w:t>
      </w:r>
    </w:p>
    <w:p>
      <w:pPr/>
      <w:r>
        <w:rPr/>
        <w:t xml:space="preserve">La proportion ainsi calculée est interprétée selon la grille de lecture suivante.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Grille de lecture</w:t>
      </w:r>
    </w:p>
    <w:tbl>
      <w:tblGrid>
        <w:gridCol w:w="180" w:type="dxa"/>
        <w:gridCol w:w="1700" w:type="dxa"/>
        <w:gridCol w:w="1700" w:type="dxa"/>
        <w:gridCol w:w="40" w:type="dxa"/>
        <w:gridCol w:w="60" w:type="dxa"/>
        <w:gridCol w:w="40" w:type="dxa"/>
        <w:gridCol w:w="60" w:type="dxa"/>
        <w:gridCol w:w="300" w:type="dxa"/>
      </w:tblGrid>
      <w:tblPr>
        <w:tblW w:w="10380" w:type="dxa"/>
        <w:tblLayout w:type="autofit"/>
      </w:tblPr>
      <w:tr>
        <w:trPr>
          <w:trHeight w:val="474" w:hRule="exact"/>
        </w:trPr>
        <w:tc>
          <w:tcPr>
            <w:tcW w:w="18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/>
            <w:r>
              <w:rPr/>
              <w:t xml:space="preserve">Métrique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indéterminé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mauvais</w:t>
            </w:r>
          </w:p>
          <w:p>
            <w:pPr>
              <w:jc w:val="center"/>
            </w:pPr>
            <w:r>
              <w:rPr/>
              <w:t xml:space="preserve">(score=1)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mauvais</w:t>
            </w:r>
          </w:p>
          <w:p>
            <w:pPr>
              <w:jc w:val="center"/>
            </w:pPr>
            <w:r>
              <w:rPr/>
              <w:t xml:space="preserve">(score=2)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moyen</w:t>
            </w:r>
          </w:p>
          <w:p>
            <w:pPr>
              <w:jc w:val="center"/>
            </w:pPr>
            <w:r>
              <w:rPr/>
              <w:t xml:space="preserve">(score=3)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bon</w:t>
            </w:r>
          </w:p>
          <w:p>
            <w:pPr>
              <w:jc w:val="center"/>
            </w:pPr>
            <w:r>
              <w:rPr/>
              <w:t xml:space="preserve">(score=4)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très bon</w:t>
            </w:r>
          </w:p>
          <w:p>
            <w:pPr>
              <w:jc w:val="center"/>
            </w:pPr>
            <w:r>
              <w:rPr/>
              <w:t xml:space="preserve">(score=5)</w:t>
            </w:r>
          </w:p>
        </w:tc>
        <w:tc>
          <w:tcPr>
            <w:tcW w:w="30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>
              <w:jc w:val="center"/>
            </w:pPr>
            <w:r>
              <w:rPr/>
              <w:t xml:space="preserve">coefficient de pondération</w:t>
            </w:r>
          </w:p>
        </w:tc>
      </w:tr>
      <w:tr>
        <w:trPr>
          <w:trHeight w:val="237" w:hRule="exact"/>
        </w:trPr>
        <w:tc>
          <w:tcPr>
            <w:tcW w:w="180" w:type="dxa"/>
            <w:tcMar>
              <w:top w:w="0" w:type="dxa"/>
              <w:start w:w="108" w:type="dxa"/>
              <w:bottom w:w="0" w:type="dxa"/>
              <w:end w:w="108" w:type="dxa"/>
            </w:tcMar>
            <w:vAlign w:val="top"/>
            <w:noWrap/>
          </w:tcPr>
          <w:p>
            <w:pPr/>
            <w:r>
              <w:rPr/>
              <w:t xml:space="preserve">Proportion  d’oiseaux mazoutés OSPAR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17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&gt;20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15-20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10-15</w:t>
            </w:r>
          </w:p>
        </w:tc>
        <w:tc>
          <w:tcPr>
            <w:tcW w:w="4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&lt;10</w:t>
            </w:r>
          </w:p>
        </w:tc>
        <w:tc>
          <w:tcPr>
            <w:tcW w:w="6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&lt;10</w:t>
            </w:r>
          </w:p>
        </w:tc>
        <w:tc>
          <w:tcPr>
            <w:tcW w:w="300" w:type="dxa"/>
            <w:tcMar>
              <w:top w:w="0" w:type="dxa"/>
              <w:start w:w="108" w:type="dxa"/>
              <w:bottom w:w="0" w:type="dxa"/>
              <w:end w:w="108" w:type="dxa"/>
            </w:tcMar>
            <w:noWrap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DISCUSSION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Causes d‘évolution temporelles</w:t>
      </w:r>
    </w:p>
    <w:p>
      <w:pPr/>
      <w:br/>
      <w:br/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Points forts / points faibles</w:t>
      </w:r>
    </w:p>
    <w:p/>
    <w:p>
      <w:pPr/>
      <w:r>
        <w:rPr>
          <w:color w:val="0087a5"/>
          <w:sz w:val="26"/>
          <w:szCs w:val="26"/>
          <w:b w:val="1"/>
          <w:bCs w:val="1"/>
          <w:caps w:val="0"/>
        </w:rPr>
        <w:t xml:space="preserve">Applicable à différents contextes</w:t>
      </w:r>
    </w:p>
    <w:p>
      <w:pPr/>
      <w:r>
        <w:rPr/>
        <w:t xml:space="preserve">Non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Applicabilité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Indicateur opérationnel</w:t>
      </w:r>
    </w:p>
    <w:p>
      <w:pPr/>
      <w:r>
        <w:rPr/>
        <w:t xml:space="preserve">Dans une AMP &gt; Iroise / Parc naturel marin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Bases conceptuelles solides</w:t>
      </w:r>
    </w:p>
    <w:p>
      <w:pPr/>
      <w:r>
        <w:rPr/>
        <w:t xml:space="preserve">Basé sur des publications, rapports  scientifiques, réglementation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Réactivité</w:t>
      </w:r>
    </w:p>
    <w:p>
      <w:pPr/>
      <w:r>
        <w:rPr/>
        <w:t xml:space="preserve">Sensible et réactif à court terme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Nécessité d'études pour définir des seuils</w:t>
      </w:r>
    </w:p>
    <w:p>
      <w:pPr/>
      <w:r>
        <w:rPr/>
        <w:t xml:space="preserve">Grille de lecture calibrée [seuils ou tendances]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Disponibilités des données</w:t>
      </w:r>
    </w:p>
    <w:p>
      <w:pPr/>
      <w:r>
        <w:rPr/>
        <w:t xml:space="preserve">Données disponibles dans le cadre d’un suivi pérenne mais pas à la bonne échelle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Facilement compréhensible pour le public visé</w:t>
      </w:r>
    </w:p>
    <w:p>
      <w:pPr/>
      <w:r>
        <w:rPr/>
        <w:t xml:space="preserve">Appropriation simple pour le non-spécialiste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Principaux avantages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Principales limites</w:t>
      </w:r>
    </w:p>
    <w:p>
      <w:pPr/>
      <w:r>
        <w:rPr/>
        <w:t xml:space="preserve"> pas de réseau en place,</w:t>
      </w:r>
    </w:p>
    <w:p>
      <w:pPr/>
      <w:r>
        <w:rPr/>
        <w:t xml:space="preserve">observations ponctuelles insuffisantes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Pistes d'amélioration</w:t>
      </w:r>
    </w:p>
    <w:p>
      <w:pPr/>
      <w:r>
        <w:rPr/>
        <w:t xml:space="preserve">lien à faire avec la LPO ou OSPAR ?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BIBLIOGRAPHIE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Bibliographie</w:t>
      </w:r>
    </w:p>
    <w:p>
      <w:pPr>
        <w:sectPr>
          <w:type w:val="continuous"/>
          <w:pgSz w:orient="portrait" w:w="11905.511811023622" w:h="16837.79527559055"/>
          <w:pgMar w:top="1440" w:right="1440" w:bottom="1440" w:left="1440" w:header="720" w:footer="720" w:gutter="0"/>
          <w:cols w:num="1" w:space="720"/>
        </w:sectPr>
      </w:pPr>
    </w:p>
    <w:p/>
    <w:p>
      <w:pPr/>
      <w:r>
        <w:rPr>
          <w:color w:val="0087a5"/>
          <w:sz w:val="32"/>
          <w:szCs w:val="32"/>
          <w:b w:val="1"/>
          <w:bCs w:val="1"/>
          <w:smallCaps w:val="0"/>
          <w:caps w:val="1"/>
        </w:rPr>
        <w:t xml:space="preserve">CREDITS</w:t>
      </w:r>
    </w:p>
    <w:p/>
    <w:p>
      <w:pPr/>
      <w:r>
        <w:rPr>
          <w:color w:val="B79247"/>
          <w:sz w:val="22"/>
          <w:szCs w:val="22"/>
          <w:b w:val="1"/>
          <w:bCs w:val="1"/>
        </w:rPr>
        <w:t xml:space="preserve">Auteur</w:t>
      </w:r>
    </w:p>
    <w:p>
      <w:pPr/>
      <w:r>
        <w:rPr/>
        <w:t xml:space="preserve">Reda NEVEU : reda.neveu@aires-marines.fr</w:t>
      </w:r>
    </w:p>
    <w:p>
      <w:pPr/>
      <w:r>
        <w:rPr>
          <w:color w:val="B79247"/>
          <w:sz w:val="22"/>
          <w:szCs w:val="22"/>
          <w:b w:val="1"/>
          <w:bCs w:val="1"/>
        </w:rPr>
        <w:t xml:space="preserve">Contributeur(s)</w:t>
      </w:r>
    </w:p>
    <w:p>
      <w:pPr/>
      <w:r>
        <w:rPr/>
        <w:t xml:space="preserve">Elodie GAMP : elodie.gamp@ofb.gouv.fr</w:t>
      </w:r>
    </w:p>
    <w:sectPr>
      <w:type w:val="continuous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fr-FR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fr-FR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2026-08-21T01:59:41+02:00</dcterms:created>
  <dcterms:modified xsi:type="dcterms:W3CDTF">2026-08-21T01:59:41+02:00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