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Flux de nitrates</w:t>
      </w:r>
    </w:p>
    <w:p>
      <w:pPr/>
      <w:r>
        <w:rPr/>
        <w:t xml:space="preserve">Version du 28/01/2020 à 10:36:28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sels nutritifs est évalué sous l’angle eutrophisation des masses d’eaux via les flux de nitrates et phosphore par bassin versant.</w:t>
      </w:r>
    </w:p>
    <w:p>
      <w:pPr/>
      <w:r>
        <w:rPr/>
        <w:t xml:space="preserve">L’indicateur « Flux de nitrates » permet d’évaluer les concentrations moyennes annuelles en nitrates par bassin versant (analyse du taux de diminution de cette concentration, tous bassin-versants confondus).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Flux de nitrates » permet d’évaluer les concentrations moyennes annuelles en nitrates par bassin versant.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  <w:b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Concentrations moyennes annuelles des flux de nitrate par BV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réseaux locaux des Schéma d’Aménagement et de Gestion des Eaux (SAGE) du périmètre de l'AMP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SAGE à l'échelle de l'AMP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variable selon les SAGEs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Les concentrations moyennes annuelles des flux par bassin versant seront communiquées par les réseaux locaux des Schéma d’Aménagement et de Gestion des Eaux. 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Evolution de la concentrations moyennes annuelles des flux de nitrate par BV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de chacun des bassins versants de l'AMP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annuelle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Pour chacun des 8 bassin-versants suivis, un taux de diminution des flux de nitrates par rapport à la référence du bassin-versant (concentration moyenne calculée sur les années 1999 à 2003) est calculé. 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Un taux moyen de diminution des flux tous bassin-versants confondus est calculé à partir des taux de diminution moyen par bassin-versant en affectant, le cas échéant, des coefficients à certains bassin-versants d'importance pour le Parc.</w:t>
      </w:r>
    </w:p>
    <w:p>
      <w:pPr>
        <w:jc w:val="both"/>
      </w:pPr>
      <w:r>
        <w:rPr/>
        <w:t xml:space="preserve">Ce taux moyen de diminution donne le résultat de l'indicateur à interpréter.</w:t>
      </w:r>
    </w:p>
    <w:p>
      <w:pPr>
        <w:jc w:val="both"/>
      </w:pPr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La grille de  est basée sur un taux de diminution des flux de nitrate.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 w:w="160" w:type="dxa"/>
        <w:gridCol w:w="160" w:type="dxa"/>
        <w:gridCol w:w="0" w:type="dxa"/>
        <w:gridCol w:w="120" w:type="dxa"/>
        <w:gridCol w:w="0" w:type="dxa"/>
        <w:gridCol w:w="1300" w:type="dxa"/>
        <w:gridCol w:w="120" w:type="dxa"/>
        <w:gridCol w:w="100" w:type="dxa"/>
      </w:tblGrid>
      <w:tblPr>
        <w:tblW w:w="10170" w:type="dxa"/>
        <w:tblLayout w:type="autofit"/>
      </w:tblPr>
      <w:tr>
        <w:trPr>
          <w:trHeight w:val="467" w:hRule="exact"/>
        </w:trPr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/>
            <w:r>
              <w:rPr/>
              <w:t xml:space="preserve">Métrique</w:t>
            </w:r>
          </w:p>
        </w:tc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indéterminé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mauvais</w:t>
            </w:r>
          </w:p>
          <w:p>
            <w:pPr>
              <w:jc w:val="center"/>
            </w:pPr>
            <w:r>
              <w:rPr/>
              <w:t xml:space="preserve">(score=1)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mauvais</w:t>
            </w:r>
          </w:p>
          <w:p>
            <w:pPr>
              <w:jc w:val="center"/>
            </w:pPr>
            <w:r>
              <w:rPr/>
              <w:t xml:space="preserve">(score=2)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moyen</w:t>
            </w:r>
          </w:p>
          <w:p>
            <w:pPr>
              <w:jc w:val="center"/>
            </w:pPr>
            <w:r>
              <w:rPr/>
              <w:t xml:space="preserve">(score=3)</w:t>
            </w:r>
          </w:p>
        </w:tc>
        <w:tc>
          <w:tcPr>
            <w:tcW w:w="13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bon</w:t>
            </w:r>
          </w:p>
          <w:p>
            <w:pPr>
              <w:jc w:val="center"/>
            </w:pPr>
            <w:r>
              <w:rPr/>
              <w:t xml:space="preserve">(score=4)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bon</w:t>
            </w:r>
          </w:p>
          <w:p>
            <w:pPr>
              <w:jc w:val="center"/>
            </w:pPr>
            <w:r>
              <w:rPr/>
              <w:t xml:space="preserve">(score=5)</w:t>
            </w:r>
          </w:p>
        </w:tc>
        <w:tc>
          <w:tcPr>
            <w:tcW w:w="1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coefficient de pondération</w:t>
            </w:r>
          </w:p>
        </w:tc>
      </w:tr>
      <w:tr>
        <w:trPr>
          <w:trHeight w:val="467" w:hRule="exact"/>
        </w:trPr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/>
            <w:r>
              <w:rPr/>
              <w:t xml:space="preserve">Baisse des flux de nitrates par bassin versant (%)</w:t>
            </w:r>
          </w:p>
        </w:tc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&lt; 5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[5 – 15[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[15 – 25[</w:t>
            </w:r>
          </w:p>
        </w:tc>
        <w:tc>
          <w:tcPr>
            <w:tcW w:w="13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[25 – 30[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&gt; 30</w:t>
            </w:r>
          </w:p>
        </w:tc>
        <w:tc>
          <w:tcPr>
            <w:tcW w:w="1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complexe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2026-08-21T01:59:41+02:00</dcterms:created>
  <dcterms:modified xsi:type="dcterms:W3CDTF">2026-08-21T01:59:41+02:00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