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Concentrations en substances chimiques d'intérêt sanitaire dans le biote</w:t>
      </w:r>
    </w:p>
    <w:p>
      <w:pPr/>
      <w:r>
        <w:rPr/>
        <w:t xml:space="preserve">Version du 28/01/2020 à 10:45:28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Concentrations en substances chimiques d'intérêt sanitaire dans le biote » permet d’évaluer trois métaux réglementés (Cadmium, mercure et plomb) ainsi que certains contaminants organiques (dioxines, PCB, HAP, …).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permet d’évaluer trois métaux réglementés ainsi que certains contaminants organiques.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Estuaires Picards et de la mer d’Opale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EPMO, 2015, Plan de gestion PNM Estuaires Picards et Mer d’Opale, 381p.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Concentrations en phycotoxines dans l'eau et le biote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r>
        <w:rPr/>
        <w:t xml:space="preserve">Trois points de mesure font l’objet de ce suivi chimique sanitaire dans le Parc : « Ambleteuse », « Berck-Bellevue » et « Pointe St-Quentin ».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estuaires picards et mer d'Opale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2026-07-07T02:29:57+02:00</dcterms:created>
  <dcterms:modified xsi:type="dcterms:W3CDTF">2026-07-07T02:29:57+02:00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