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Capacité physique des flotilles</w:t>
      </w:r>
    </w:p>
    <w:p>
      <w:pPr/>
      <w:r>
        <w:rPr/>
        <w:t xml:space="preserve">Version du 04/06/2026 à 12:16:04</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rPr>
          <w:color w:val="0087a5"/>
          <w:sz w:val="26"/>
          <w:szCs w:val="26"/>
          <w:b w:val="1"/>
          <w:bCs w:val="1"/>
          <w:caps w:val="0"/>
        </w:rPr>
        <w:t xml:space="preserve">Définitions et objectifs</w:t>
      </w:r>
    </w:p>
    <w:p>
      <w:pPr/>
      <w:r>
        <w:rPr/>
        <w:t xml:space="preserve">L’indicateur « </w:t>
      </w:r>
      <w:r>
        <w:rPr>
          <w:b w:val="1"/>
          <w:bCs w:val="1"/>
        </w:rPr>
        <w:t xml:space="preserve">Capacité physique des flottilles</w:t>
      </w:r>
      <w:r>
        <w:rPr/>
        <w:t xml:space="preserve"> » permet d’évaluer la puissance totale et moyenne, la longueur moyenne, la jauge totale et moyenne et le nombre de navires des différentes flottilles actives dans l'AMP. Il permet de connaître l'évolution des flottilles au cours du temps, voire d'identifier des modifications majeures dans la flotte.</w:t>
      </w:r>
    </w:p>
    <w:p>
      <w:pPr/>
      <w:r>
        <w:rPr>
          <w:color w:val="B79247"/>
          <w:sz w:val="22"/>
          <w:szCs w:val="22"/>
          <w:b w:val="1"/>
          <w:bCs w:val="1"/>
        </w:rPr>
        <w:t xml:space="preserve">Objet évalué</w:t>
      </w:r>
    </w:p>
    <w:p>
      <w:pPr/>
      <w:r>
        <w:rPr/>
        <w:t xml:space="preserve">L’indicateur « Capacité physique des flottilles » permet d’évaluer l'évolution des caractéristiques techniques des différentes flottilles de l'AMP</w:t>
      </w:r>
    </w:p>
    <w:p>
      <w:pPr/>
      <w:r>
        <w:rPr>
          <w:color w:val="B79247"/>
          <w:sz w:val="22"/>
          <w:szCs w:val="22"/>
          <w:b w:val="1"/>
          <w:bCs w:val="1"/>
        </w:rPr>
        <w:t xml:space="preserve">Finalité(s)</w:t>
      </w:r>
    </w:p>
    <w:p>
      <w:pPr/>
      <w:r>
        <w:rPr/>
        <w:t xml:space="preserve">F5. L’exploitation durable des ressources</w:t>
      </w:r>
      <w:br/>
      <w:r>
        <w:rPr/>
        <w:t xml:space="preserve">F6. Le développement durable des usages</w:t>
      </w:r>
    </w:p>
    <w:p>
      <w:pPr/>
      <w:r>
        <w:rPr>
          <w:color w:val="B79247"/>
          <w:sz w:val="22"/>
          <w:szCs w:val="22"/>
          <w:b w:val="1"/>
          <w:bCs w:val="1"/>
        </w:rPr>
        <w:t xml:space="preserve">Déclinaison locale des finalités</w:t>
      </w:r>
    </w:p>
    <w:p>
      <w:pPr/>
      <w:r>
        <w:rPr/>
        <w:t xml:space="preserve">PNM Iroise : </w:t>
      </w:r>
    </w:p>
    <w:p>
      <w:pPr/>
      <w:r>
        <w:rPr>
          <w:color w:val="B79247"/>
          <w:sz w:val="22"/>
          <w:szCs w:val="22"/>
          <w:b w:val="1"/>
          <w:bCs w:val="1"/>
        </w:rPr>
        <w:t xml:space="preserve">Thème(s)</w:t>
      </w:r>
    </w:p>
    <w:p>
      <w:pPr/>
      <w:r>
        <w:rPr/>
        <w:t xml:space="preserve">Usages &gt; Aspect économique</w:t>
      </w:r>
      <w:br/>
      <w:r>
        <w:rPr/>
        <w:t xml:space="preserve">Usages &gt; Pêche et aquaculture</w:t>
      </w:r>
    </w:p>
    <w:p>
      <w:pPr/>
      <w:r>
        <w:rPr>
          <w:color w:val="B79247"/>
          <w:sz w:val="22"/>
          <w:szCs w:val="22"/>
          <w:b w:val="1"/>
          <w:bCs w:val="1"/>
        </w:rPr>
        <w:t xml:space="preserve">Ecorégion</w:t>
      </w:r>
    </w:p>
    <w:p>
      <w:pPr/>
      <w:r>
        <w:rPr/>
        <w:t xml:space="preserve">Océan mondial</w:t>
      </w:r>
    </w:p>
    <w:p>
      <w:pPr/>
      <w:r>
        <w:rPr>
          <w:color w:val="B79247"/>
          <w:sz w:val="22"/>
          <w:szCs w:val="22"/>
          <w:b w:val="1"/>
          <w:bCs w:val="1"/>
        </w:rPr>
        <w:t xml:space="preserve">DPSIR</w:t>
      </w:r>
    </w:p>
    <w:p>
      <w:pPr/>
      <w:r>
        <w:rPr/>
        <w:t xml:space="preserve">Pressions</w:t>
      </w:r>
    </w:p>
    <w:p>
      <w:pPr/>
      <w:r>
        <w:rPr>
          <w:color w:val="B79247"/>
          <w:sz w:val="22"/>
          <w:szCs w:val="22"/>
          <w:b w:val="1"/>
          <w:bCs w:val="1"/>
        </w:rPr>
        <w:t xml:space="preserve">Référence principale</w:t>
      </w:r>
    </w:p>
    <w:p>
      <w:pPr/>
      <w:r>
        <w:rPr/>
        <w:t xml:space="preserve">Daures F., Frangoudes K., Alban F., 2010, Propositions d’indicateurs économiques, sociaux et de gouvernance de la pêche professionnelle côtière – Application au Parc Naturel Marin de l’Iroise, Ifremer – UMR Amure, Université de Brest – UMR Amure, Brest, 33p.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Caractéristiques techniques des navires</w:t>
      </w:r>
    </w:p>
    <w:p>
      <w:pPr/>
      <w:r>
        <w:rPr>
          <w:b w:val="1"/>
          <w:bCs w:val="1"/>
        </w:rPr>
        <w:t xml:space="preserve">Source des données</w:t>
      </w:r>
    </w:p>
    <w:p>
      <w:pPr/>
      <w:r>
        <w:rPr/>
        <w:t xml:space="preserve">Ifremer - SIH/ DPMA - SIPA : Fichier Flotte Pêche Communautaire (FFPC) </w:t>
      </w:r>
      <w:br/>
      <w:r>
        <w:rPr/>
        <w:t xml:space="preserve">Les données contenues dans ce fichier sont de quatre types :</w:t>
      </w:r>
      <w:br/>
      <w:r>
        <w:rPr/>
        <w:t xml:space="preserve">   - les données administratives: nom, quartier d'immatriculation,  marquage externe...</w:t>
      </w:r>
      <w:br/>
      <w:r>
        <w:rPr/>
        <w:t xml:space="preserve">   - les caractéristiques techniques: longueur, puissance, tonnage, engins de pêche déclarés ...</w:t>
      </w:r>
      <w:br/>
      <w:r>
        <w:rPr/>
        <w:t xml:space="preserve">   - l'ensemble des évènements historiques de la vie des navires: entrée et sortie de flotte, modification de caractéristiques</w:t>
      </w:r>
      <w:br/>
      <w:r>
        <w:rPr/>
        <w:t xml:space="preserve">   - les données personnelles : nom et adresse du propriétaire</w:t>
      </w:r>
      <w:br/>
      <w:br/>
      <w:r>
        <w:rPr/>
        <w:t xml:space="preserve">Ce fichier fournit donc des informations sur tous les navires, incluant la description des changements survenus au cours de leur vie, et ce, depuis la création du fichier de la flotte en 1989.</w:t>
      </w:r>
      <w:br/>
      <w:br/>
      <w:r>
        <w:rPr/>
        <w:t xml:space="preserve">Les données relatives à la taille, la jauge et la puissance sont extraites pour les navires actifs dans l'AMP</w:t>
      </w:r>
    </w:p>
    <w:p>
      <w:pPr/>
      <w:r>
        <w:rPr>
          <w:b w:val="1"/>
          <w:bCs w:val="1"/>
        </w:rPr>
        <w:t xml:space="preserve">Stratégie spatiale</w:t>
      </w:r>
    </w:p>
    <w:p>
      <w:pPr/>
      <w:r>
        <w:rPr/>
        <w:t xml:space="preserve">Navires actifs dans l'AMP (tous les navires, ou sélection selon un critère de taux de fréquentation à la zone)</w:t>
      </w:r>
    </w:p>
    <w:p>
      <w:pPr/>
      <w:r>
        <w:rPr>
          <w:b w:val="1"/>
          <w:bCs w:val="1"/>
        </w:rPr>
        <w:t xml:space="preserve">Stratégie temporelle</w:t>
      </w:r>
    </w:p>
    <w:p>
      <w:pPr/>
      <w:r>
        <w:rPr/>
        <w:t xml:space="preserve">Données actualisées tous les trois mois et récupérées une fois par an</w:t>
      </w:r>
    </w:p>
    <w:p>
      <w:pPr/>
      <w:r>
        <w:rPr>
          <w:b w:val="1"/>
          <w:bCs w:val="1"/>
        </w:rPr>
        <w:t xml:space="preserve">Moyens humains et matériels</w:t>
      </w:r>
    </w:p>
    <w:p>
      <w:pPr/>
      <w:r>
        <w:rPr/>
        <w:t xml:space="preserve">Matériel : /</w:t>
      </w:r>
      <w:br/>
      <w:br/>
      <w:r>
        <w:rPr/>
        <w:t xml:space="preserve">Moyens humains : </w:t>
      </w:r>
      <w:br/>
      <w:r>
        <w:rPr/>
        <w:t xml:space="preserve">- 1 chargé de mission</w:t>
      </w:r>
      <w:br/>
      <w:r>
        <w:rPr/>
        <w:t xml:space="preserve">- 1 référent Ifremer</w:t>
      </w:r>
      <w:br/>
    </w:p>
    <w:p>
      <w:pPr/>
      <w:r>
        <w:rPr>
          <w:b w:val="1"/>
          <w:bCs w:val="1"/>
        </w:rPr>
        <w:t xml:space="preserve">Protocole de récolte</w:t>
      </w:r>
    </w:p>
    <w:p>
      <w:pPr/>
      <w:r>
        <w:rPr/>
        <w:t xml:space="preserve">Les données du </w:t>
      </w:r>
      <w:r>
        <w:rPr>
          <w:b w:val="1"/>
          <w:bCs w:val="1"/>
        </w:rPr>
        <w:t xml:space="preserve">Fichier Flotte de pêche communautaire</w:t>
      </w:r>
      <w:r>
        <w:rPr/>
        <w:t xml:space="preserve"> concernant les navires actifs dans le Parc sont récupérées via une extraction de la base de données Harmonie du SIH réalisée et transmise par l'Ifremer. Ces données du FFPC sont actualisés tous les 3 mois au niveau européen. Les données au 31 décembre de l'année sont récupérées pour calculer cet indicateur.</w:t>
      </w:r>
    </w:p>
    <w:p>
      <w:pPr/>
      <w:r>
        <w:rPr/>
        <w:t xml:space="preserve">Ces données transmises permettent de faire des traitements des données administratives selon des regroupements spécifiques des navires (par flottille, taille, par exemple).</w:t>
      </w:r>
    </w:p>
    <w:p>
      <w:pPr/>
      <w:r>
        <w:rPr>
          <w:b w:val="1"/>
          <w:bCs w:val="1"/>
        </w:rPr>
        <w:t xml:space="preserve">Référentiel(s) utilisé(s)</w:t>
      </w:r>
    </w:p>
    <w:p>
      <w:pPr/>
      <w:r>
        <w:rPr/>
        <w:t xml:space="preserve">FAO</w:t>
      </w:r>
    </w:p>
    <w:p>
      <w:pPr/>
      <w:r>
        <w:rPr>
          <w:b w:val="1"/>
          <w:bCs w:val="1"/>
        </w:rPr>
        <w:t xml:space="preserve">Base(s) de données utilisée(s)</w:t>
      </w:r>
    </w:p>
    <w:p>
      <w:pPr/>
      <w:r>
        <w:rPr/>
        <w:t xml:space="preserve">SIH - Harmonie</w:t>
      </w:r>
    </w:p>
    <w:p>
      <w:pPr/>
      <w:r>
        <w:rPr>
          <w:b w:val="1"/>
          <w:bCs w:val="1"/>
        </w:rPr>
        <w:t xml:space="preserve">Précisions</w:t>
      </w:r>
    </w:p>
    <w:p>
      <w:pPr/>
      <w:r>
        <w:rPr/>
        <w:t xml:space="preserve">Les données sont récupérées dans le cadre d'une convention tripartite OFB/Ifremer/DPMA.</w:t>
      </w:r>
    </w:p>
    <w:p>
      <w:pPr/>
      <w:r>
        <w:rPr>
          <w:color w:val="0087a5"/>
          <w:sz w:val="26"/>
          <w:szCs w:val="26"/>
          <w:b w:val="1"/>
          <w:bCs w:val="1"/>
          <w:caps w:val="0"/>
        </w:rPr>
        <w:t xml:space="preserve">Métriques</w:t>
      </w:r>
    </w:p>
    <w:p>
      <w:pPr/>
      <w:r>
        <w:rPr>
          <w:color w:val="B79247"/>
          <w:sz w:val="22"/>
          <w:szCs w:val="22"/>
          <w:b w:val="1"/>
          <w:bCs w:val="1"/>
        </w:rPr>
        <w:t xml:space="preserve">Puissance moyenne et totale des navires</w:t>
      </w:r>
    </w:p>
    <w:p>
      <w:pPr/>
      <w:r>
        <w:rPr>
          <w:b w:val="1"/>
          <w:bCs w:val="1"/>
        </w:rPr>
        <w:t xml:space="preserve">Stratégie spatiale</w:t>
      </w:r>
    </w:p>
    <w:p>
      <w:pPr/>
      <w:r>
        <w:rPr/>
        <w:t xml:space="preserve">A l'échelle du Parc, pour les navires actifs dans le Parc</w:t>
      </w:r>
    </w:p>
    <w:p>
      <w:pPr/>
      <w:r>
        <w:rPr>
          <w:b w:val="1"/>
          <w:bCs w:val="1"/>
        </w:rPr>
        <w:t xml:space="preserve">Stratégie temporelle</w:t>
      </w:r>
    </w:p>
    <w:p>
      <w:pPr/>
      <w:r>
        <w:rPr/>
        <w:t xml:space="preserve">Calcul réalisé une fois par an, sur les données de l'année N-2</w:t>
      </w:r>
    </w:p>
    <w:p>
      <w:pPr/>
      <w:r>
        <w:rPr>
          <w:b w:val="1"/>
          <w:bCs w:val="1"/>
        </w:rPr>
        <w:t xml:space="preserve">Moyens humains et matériels</w:t>
      </w:r>
    </w:p>
    <w:p>
      <w:pPr/>
      <w:r>
        <w:rPr/>
        <w:t xml:space="preserve">Matériel (non obligatoire) : logiciel R et scripts d'analyses automatiques</w:t>
      </w:r>
      <w:br/>
      <w:br/>
      <w:r>
        <w:rPr/>
        <w:t xml:space="preserve">Moyens humains : 1 chargé de mission</w:t>
      </w:r>
      <w:br/>
    </w:p>
    <w:p>
      <w:pPr/>
      <w:r>
        <w:rPr>
          <w:b w:val="1"/>
          <w:bCs w:val="1"/>
        </w:rPr>
        <w:t xml:space="preserve">Méthode de calcul</w:t>
      </w:r>
    </w:p>
    <w:p>
      <w:pPr>
        <w:jc w:val="both"/>
      </w:pPr>
      <w:r>
        <w:rPr/>
        <w:t xml:space="preserve">La métrique est composée de deux valeurs : </w:t>
      </w:r>
    </w:p>
    <w:p>
      <w:pPr/>
      <w:r>
        <w:rPr/>
        <w:t xml:space="preserve">	</w:t>
      </w:r>
    </w:p>
    <w:p>
      <w:pPr>
        <w:numPr>
          <w:ilvl w:val="0"/>
          <w:numId w:val="1"/>
        </w:numPr>
      </w:pPr>
      <w:r>
        <w:rPr/>
        <w:t xml:space="preserve">la puissance totale par flottille : pour la calculer, il suffit de faire la somme des puissances des navires enregistrées dans les données SIH/SIPA sur l'année pour chacune des flottilles. </w:t>
      </w:r>
    </w:p>
    <w:p>
      <w:pPr/>
      <w:r>
        <w:rPr/>
        <w:t xml:space="preserve">	</w:t>
      </w:r>
    </w:p>
    <w:p>
      <w:pPr>
        <w:numPr>
          <w:ilvl w:val="0"/>
          <w:numId w:val="1"/>
        </w:numPr>
      </w:pPr>
      <w:r>
        <w:rPr/>
        <w:t xml:space="preserve">la puissance moyenne par flottille : pour la calculer, il suffit de faire la moyenne des puissances des navires enregistrées dans les données SIH/SIPA sur l'année pour chacune des flottilles</w:t>
      </w:r>
    </w:p>
    <w:p>
      <w:pPr/>
      <w:r>
        <w:rPr>
          <w:color w:val="B79247"/>
          <w:sz w:val="22"/>
          <w:szCs w:val="22"/>
          <w:b w:val="1"/>
          <w:bCs w:val="1"/>
        </w:rPr>
        <w:t xml:space="preserve">Jauge moyenne et totale des navires</w:t>
      </w:r>
    </w:p>
    <w:p>
      <w:pPr/>
      <w:r>
        <w:rPr>
          <w:b w:val="1"/>
          <w:bCs w:val="1"/>
        </w:rPr>
        <w:t xml:space="preserve">Stratégie spatiale</w:t>
      </w:r>
    </w:p>
    <w:p>
      <w:pPr/>
      <w:r>
        <w:rPr/>
        <w:t xml:space="preserve">A l'échelle du Parc, pour les navires actifs dans le Parc</w:t>
      </w:r>
    </w:p>
    <w:p>
      <w:pPr/>
      <w:r>
        <w:rPr>
          <w:b w:val="1"/>
          <w:bCs w:val="1"/>
        </w:rPr>
        <w:t xml:space="preserve">Stratégie temporelle</w:t>
      </w:r>
    </w:p>
    <w:p>
      <w:pPr/>
      <w:r>
        <w:rPr/>
        <w:t xml:space="preserve">Calcul réalisé une fois par an, sur les données de l'année N-2</w:t>
      </w:r>
    </w:p>
    <w:p>
      <w:pPr/>
      <w:r>
        <w:rPr>
          <w:b w:val="1"/>
          <w:bCs w:val="1"/>
        </w:rPr>
        <w:t xml:space="preserve">Moyens humains et matériels</w:t>
      </w:r>
    </w:p>
    <w:p>
      <w:pPr/>
      <w:r>
        <w:rPr/>
        <w:t xml:space="preserve">Matériel (non obligatoire) : logiciel R et scripts d'analyses automatiques</w:t>
      </w:r>
      <w:br/>
      <w:r>
        <w:rPr/>
        <w:t xml:space="preserve">Moyens humains : 1 chargé de mission</w:t>
      </w:r>
      <w:br/>
    </w:p>
    <w:p>
      <w:pPr/>
      <w:r>
        <w:rPr>
          <w:b w:val="1"/>
          <w:bCs w:val="1"/>
        </w:rPr>
        <w:t xml:space="preserve">Méthode de calcul</w:t>
      </w:r>
    </w:p>
    <w:p>
      <w:pPr>
        <w:jc w:val="both"/>
        <w:spacing w:after="195"/>
      </w:pPr>
      <w:r>
        <w:rPr/>
        <w:t xml:space="preserve">La métrique est composée de deux valeurs : </w:t>
      </w:r>
    </w:p>
    <w:p>
      <w:pPr/>
      <w:r>
        <w:rPr/>
        <w:t xml:space="preserve">	</w:t>
      </w:r>
    </w:p>
    <w:p>
      <w:pPr>
        <w:numPr>
          <w:ilvl w:val="0"/>
          <w:numId w:val="2"/>
        </w:numPr>
      </w:pPr>
      <w:r>
        <w:rPr/>
        <w:t xml:space="preserve">la jauge totale par flottille : pour la calculer, il suffit de faire la somme des jauges des navires enregistrées dans les données SIH/SIPA sur l'année pour chacune des flottilles. </w:t>
      </w:r>
    </w:p>
    <w:p>
      <w:pPr/>
      <w:r>
        <w:rPr/>
        <w:t xml:space="preserve">	</w:t>
      </w:r>
    </w:p>
    <w:p>
      <w:pPr>
        <w:numPr>
          <w:ilvl w:val="0"/>
          <w:numId w:val="2"/>
        </w:numPr>
      </w:pPr>
      <w:r>
        <w:rPr/>
        <w:t xml:space="preserve">la jauge moyenne par flottille : pour la calculer, il suffit de faire la moyenne des puissances des navires enregistrées dans les données SIH/SIPA sur l'année pour chacune des flottilles</w:t>
      </w:r>
    </w:p>
    <w:p>
      <w:pPr/>
      <w:r>
        <w:rPr>
          <w:color w:val="B79247"/>
          <w:sz w:val="22"/>
          <w:szCs w:val="22"/>
          <w:b w:val="1"/>
          <w:bCs w:val="1"/>
        </w:rPr>
        <w:t xml:space="preserve">Longueur moyenne des navires</w:t>
      </w:r>
    </w:p>
    <w:p>
      <w:pPr/>
      <w:r>
        <w:rPr>
          <w:b w:val="1"/>
          <w:bCs w:val="1"/>
        </w:rPr>
        <w:t xml:space="preserve">Stratégie spatiale</w:t>
      </w:r>
    </w:p>
    <w:p>
      <w:pPr/>
      <w:r>
        <w:rPr/>
        <w:t xml:space="preserve">A l'échelle du Parc, pour les navires actifs dans le Parc</w:t>
      </w:r>
    </w:p>
    <w:p>
      <w:pPr/>
      <w:r>
        <w:rPr>
          <w:b w:val="1"/>
          <w:bCs w:val="1"/>
        </w:rPr>
        <w:t xml:space="preserve">Stratégie temporelle</w:t>
      </w:r>
    </w:p>
    <w:p>
      <w:pPr/>
      <w:r>
        <w:rPr/>
        <w:t xml:space="preserve">Calcul réalisé une fois par an, sur les données de l'année N-2</w:t>
      </w:r>
    </w:p>
    <w:p>
      <w:pPr/>
      <w:r>
        <w:rPr>
          <w:b w:val="1"/>
          <w:bCs w:val="1"/>
        </w:rPr>
        <w:t xml:space="preserve">Moyens humains et matériels</w:t>
      </w:r>
    </w:p>
    <w:p>
      <w:pPr/>
      <w:r>
        <w:rPr/>
        <w:t xml:space="preserve">Matériel (non obligatoire) : logiciel R et scripts d'analyses automatiques</w:t>
      </w:r>
      <w:br/>
      <w:r>
        <w:rPr/>
        <w:t xml:space="preserve">Moyens humains : 1 chargé de mission</w:t>
      </w:r>
      <w:br/>
    </w:p>
    <w:p>
      <w:pPr/>
      <w:r>
        <w:rPr>
          <w:b w:val="1"/>
          <w:bCs w:val="1"/>
        </w:rPr>
        <w:t xml:space="preserve">Méthode de calcul</w:t>
      </w:r>
    </w:p>
    <w:p>
      <w:pPr/>
      <w:r>
        <w:rPr/>
        <w:t xml:space="preserve">La longueur moyenne par flottille se calcule en faisant la moyenne des longueurs des navires enregistrées dans les données SIH/SIPA sur l'année pour chacune des flottilles</w:t>
      </w:r>
    </w:p>
    <w:p>
      <w:pPr/>
      <w:r>
        <w:rPr>
          <w:color w:val="B79247"/>
          <w:sz w:val="22"/>
          <w:szCs w:val="22"/>
          <w:b w:val="1"/>
          <w:bCs w:val="1"/>
        </w:rPr>
        <w:t xml:space="preserve">Nombre de navires actifs</w:t>
      </w:r>
    </w:p>
    <w:p>
      <w:pPr/>
      <w:r>
        <w:rPr>
          <w:b w:val="1"/>
          <w:bCs w:val="1"/>
        </w:rPr>
        <w:t xml:space="preserve">Stratégie spatiale</w:t>
      </w:r>
    </w:p>
    <w:p>
      <w:pPr/>
      <w:r>
        <w:rPr/>
        <w:t xml:space="preserve">A l'échelle du Parc, pour les navires actifs dans le Parc</w:t>
      </w:r>
    </w:p>
    <w:p>
      <w:pPr/>
      <w:r>
        <w:rPr>
          <w:b w:val="1"/>
          <w:bCs w:val="1"/>
        </w:rPr>
        <w:t xml:space="preserve">Stratégie temporelle</w:t>
      </w:r>
    </w:p>
    <w:p>
      <w:pPr/>
      <w:r>
        <w:rPr/>
        <w:t xml:space="preserve">Calcul réalisé une fois par an, sur les données de l'année N-2</w:t>
      </w:r>
    </w:p>
    <w:p>
      <w:pPr/>
      <w:r>
        <w:rPr>
          <w:b w:val="1"/>
          <w:bCs w:val="1"/>
        </w:rPr>
        <w:t xml:space="preserve">Moyens humains et matériels</w:t>
      </w:r>
    </w:p>
    <w:p>
      <w:pPr/>
      <w:r>
        <w:rPr/>
        <w:t xml:space="preserve">Matériel (non obligatoire) : logiciel R et scripts d'analyses automatiques</w:t>
      </w:r>
      <w:br/>
      <w:r>
        <w:rPr/>
        <w:t xml:space="preserve">Moyens humains : 1 chargé de mission</w:t>
      </w:r>
      <w:br/>
    </w:p>
    <w:p>
      <w:pPr/>
      <w:r>
        <w:rPr>
          <w:b w:val="1"/>
          <w:bCs w:val="1"/>
        </w:rPr>
        <w:t xml:space="preserve">Méthode de calcul</w:t>
      </w:r>
    </w:p>
    <w:p>
      <w:pPr/>
      <w:r>
        <w:rPr/>
        <w:t xml:space="preserve">Pour calculer le nombre de navires actifs par flottille, il suffit de comptabiliser le nombre de navires actifs pour chacune des flottilles dans le périmètre du PNM sur l'année concernée.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t xml:space="preserve">A l'échelle de l'AMP</w:t>
      </w:r>
    </w:p>
    <w:p>
      <w:pPr/>
      <w:r>
        <w:rPr>
          <w:color w:val="B79247"/>
          <w:sz w:val="22"/>
          <w:szCs w:val="22"/>
          <w:b w:val="1"/>
          <w:bCs w:val="1"/>
        </w:rPr>
        <w:t xml:space="preserve">Stratégie temporelle</w:t>
      </w:r>
    </w:p>
    <w:p>
      <w:pPr/>
      <w:r>
        <w:rPr/>
        <w:t xml:space="preserve">Calcul réalisé une fois par an, sur les données de l'année N-2</w:t>
      </w:r>
    </w:p>
    <w:p>
      <w:pPr/>
      <w:r>
        <w:rPr>
          <w:color w:val="B79247"/>
          <w:sz w:val="22"/>
          <w:szCs w:val="22"/>
          <w:b w:val="1"/>
          <w:bCs w:val="1"/>
        </w:rPr>
        <w:t xml:space="preserve">Moyens humains et matériels</w:t>
      </w:r>
    </w:p>
    <w:p>
      <w:pPr/>
      <w:r>
        <w:rPr/>
        <w:t xml:space="preserve">Matériel (non obligatoire) : logiciel R et scripts d'analyses automatiques</w:t>
      </w:r>
      <w:br/>
      <w:r>
        <w:rPr/>
        <w:t xml:space="preserve">Moyens humains : 1 chargé de mission</w:t>
      </w:r>
      <w:br/>
    </w:p>
    <w:p>
      <w:pPr/>
      <w:r>
        <w:rPr>
          <w:color w:val="B79247"/>
          <w:sz w:val="22"/>
          <w:szCs w:val="22"/>
          <w:b w:val="1"/>
          <w:bCs w:val="1"/>
        </w:rPr>
        <w:t xml:space="preserve">Méthode de calcul</w:t>
      </w:r>
    </w:p>
    <w:p>
      <w:pPr>
        <w:jc w:val="both"/>
      </w:pPr>
      <w:r>
        <w:rPr/>
        <w:t xml:space="preserve">Deux regroupements de métriques sont étudiés : </w:t>
      </w:r>
    </w:p>
    <w:p>
      <w:pPr/>
      <w:r>
        <w:rPr/>
        <w:t xml:space="preserve">	</w:t>
      </w:r>
    </w:p>
    <w:p>
      <w:pPr>
        <w:numPr>
          <w:ilvl w:val="0"/>
          <w:numId w:val="3"/>
        </w:numPr>
      </w:pPr>
      <w:r>
        <w:rPr/>
        <w:t xml:space="preserve">Les capacités physiques moyennes des différentes flottilles : puissance, jauge et longueur moyennes</w:t>
      </w:r>
    </w:p>
    <w:p>
      <w:pPr/>
      <w:r>
        <w:rPr/>
        <w:t xml:space="preserve">	</w:t>
      </w:r>
    </w:p>
    <w:p>
      <w:pPr>
        <w:numPr>
          <w:ilvl w:val="0"/>
          <w:numId w:val="3"/>
        </w:numPr>
      </w:pPr>
      <w:r>
        <w:rPr/>
        <w:t xml:space="preserve">Les capacités physiques totales des différentes flottilles : puissance et jauge totales et nombre de navires actifs</w:t>
      </w:r>
    </w:p>
    <w:p>
      <w:pPr>
        <w:jc w:val="both"/>
      </w:pPr>
      <w:r>
        <w:rPr/>
        <w:t xml:space="preserve">Les tests statistiques sont appliqués pour étudier l’évolution au cours du temps. L’objectif est d’éviter d’atteindre de trop grosses capacités physiques.</w:t>
      </w:r>
    </w:p>
    <w:p>
      <w:pPr/>
      <w:r>
        <w:rPr>
          <w:color w:val="B79247"/>
          <w:sz w:val="22"/>
          <w:szCs w:val="22"/>
          <w:b w:val="1"/>
          <w:bCs w:val="1"/>
        </w:rPr>
        <w:t xml:space="preserve">Lecture</w:t>
      </w:r>
    </w:p>
    <w:p>
      <w:pPr>
        <w:jc w:val="both"/>
        <w:spacing w:after="120"/>
      </w:pPr>
      <w:r>
        <w:rPr/>
        <w:t xml:space="preserve">Si la puissance totale  augmente, alors il y a une augmentation soit du nombre de navires, soit de la puissance moyenne. Si la puissance totale et/ou le nombre de navires augmente, la pression sur les stocks augmente. A prendre en considération dans la gestion au regard des stocks exploités par les différents flottilles.</w:t>
      </w:r>
    </w:p>
    <w:p>
      <w:pPr>
        <w:jc w:val="both"/>
      </w:pPr>
      <w:r>
        <w:rPr/>
        <w:t xml:space="preserve">Si la puissance moyenne augmente, cela signifie que le navire investi plus et il y a un risque de surinvestissement par navire surtout si l’EBE reste stable. Il peut se retrouver face à un problème de remboursement et à un risque de retour sur investissement plus faible que le surinvestissement mis en œuvre.</w:t>
      </w:r>
    </w:p>
    <w:p>
      <w:pPr/>
      <w:r>
        <w:rPr>
          <w:color w:val="B79247"/>
          <w:sz w:val="22"/>
          <w:szCs w:val="22"/>
          <w:b w:val="1"/>
          <w:bCs w:val="1"/>
        </w:rPr>
        <w:t xml:space="preserve">Grille de lecture</w:t>
      </w:r>
    </w:p>
    <w:tbl>
      <w:tblGrid>
        <w:gridCol w:w="0" w:type="dxa"/>
        <w:gridCol w:w="1700" w:type="dxa"/>
        <w:gridCol w:w="1700" w:type="dxa"/>
        <w:gridCol w:w="180" w:type="dxa"/>
        <w:gridCol w:w="1700" w:type="dxa"/>
        <w:gridCol w:w="180" w:type="dxa"/>
        <w:gridCol w:w="1700" w:type="dxa"/>
        <w:gridCol w:w="180" w:type="dxa"/>
      </w:tblGrid>
      <w:tblPr>
        <w:tblW w:w="14460" w:type="dxa"/>
        <w:tblLayout w:type="autofit"/>
      </w:tblPr>
      <w:tr>
        <w:trPr/>
        <w:tc>
          <w:tcPr>
            <w:tcW w:w="0" w:type="dxa"/>
            <w:tcMar>
              <w:top w:w="0" w:type="dxa"/>
              <w:start w:w="108" w:type="dxa"/>
              <w:bottom w:w="0" w:type="dxa"/>
              <w:end w:w="108" w:type="dxa"/>
            </w:tcMar>
            <w:noWrap/>
          </w:tcPr>
          <w:p>
            <w:pPr/>
            <w:r>
              <w:rPr/>
              <w:t xml:space="preserve">Métrique</w:t>
            </w:r>
          </w:p>
        </w:tc>
        <w:tc>
          <w:tcPr>
            <w:tcW w:w="1700" w:type="dxa"/>
            <w:tcMar>
              <w:top w:w="0" w:type="dxa"/>
              <w:start w:w="108" w:type="dxa"/>
              <w:bottom w:w="0" w:type="dxa"/>
              <w:end w:w="108" w:type="dxa"/>
            </w:tcMar>
            <w:noWrap/>
          </w:tcPr>
          <w:p>
            <w:pPr>
              <w:jc w:val="center"/>
            </w:pPr>
            <w:r>
              <w:rPr/>
              <w:t xml:space="preserve">indéterminé</w:t>
            </w:r>
          </w:p>
        </w:tc>
        <w:tc>
          <w:tcPr>
            <w:tcW w:w="1700" w:type="dxa"/>
            <w:tcMar>
              <w:top w:w="0" w:type="dxa"/>
              <w:start w:w="108" w:type="dxa"/>
              <w:bottom w:w="0" w:type="dxa"/>
              <w:end w:w="108" w:type="dxa"/>
            </w:tcMar>
            <w:vAlign w:val="top"/>
            <w:noWrap/>
          </w:tcPr>
          <w:p>
            <w:pPr>
              <w:jc w:val="center"/>
            </w:pPr>
            <w:r>
              <w:rPr/>
              <w:t xml:space="preserve">très mauvais</w:t>
            </w:r>
          </w:p>
          <w:p>
            <w:pPr>
              <w:jc w:val="center"/>
            </w:pPr>
            <w:r>
              <w:rPr/>
              <w:t xml:space="preserve">(score=1)</w:t>
            </w:r>
          </w:p>
        </w:tc>
        <w:tc>
          <w:tcPr>
            <w:tcW w:w="180" w:type="dxa"/>
            <w:tcMar>
              <w:top w:w="0" w:type="dxa"/>
              <w:start w:w="108" w:type="dxa"/>
              <w:bottom w:w="0" w:type="dxa"/>
              <w:end w:w="108" w:type="dxa"/>
            </w:tcMar>
            <w:vAlign w:val="top"/>
            <w:noWrap/>
          </w:tcPr>
          <w:p>
            <w:pPr>
              <w:jc w:val="center"/>
            </w:pPr>
            <w:r>
              <w:rPr/>
              <w:t xml:space="preserve">mauvais</w:t>
            </w:r>
          </w:p>
          <w:p>
            <w:pPr>
              <w:jc w:val="center"/>
            </w:pPr>
            <w:r>
              <w:rPr/>
              <w:t xml:space="preserve">(score=2)</w:t>
            </w:r>
          </w:p>
        </w:tc>
        <w:tc>
          <w:tcPr>
            <w:tcW w:w="1700" w:type="dxa"/>
            <w:tcMar>
              <w:top w:w="0" w:type="dxa"/>
              <w:start w:w="108" w:type="dxa"/>
              <w:bottom w:w="0" w:type="dxa"/>
              <w:end w:w="108" w:type="dxa"/>
            </w:tcMar>
            <w:vAlign w:val="top"/>
            <w:noWrap/>
          </w:tcPr>
          <w:p>
            <w:pPr>
              <w:jc w:val="center"/>
            </w:pPr>
            <w:r>
              <w:rPr/>
              <w:t xml:space="preserve">moyen</w:t>
            </w:r>
          </w:p>
          <w:p>
            <w:pPr>
              <w:jc w:val="center"/>
            </w:pPr>
            <w:r>
              <w:rPr/>
              <w:t xml:space="preserve">(score=3)</w:t>
            </w:r>
          </w:p>
        </w:tc>
        <w:tc>
          <w:tcPr>
            <w:tcW w:w="180" w:type="dxa"/>
            <w:tcMar>
              <w:top w:w="0" w:type="dxa"/>
              <w:start w:w="108" w:type="dxa"/>
              <w:bottom w:w="0" w:type="dxa"/>
              <w:end w:w="108" w:type="dxa"/>
            </w:tcMar>
            <w:vAlign w:val="top"/>
            <w:noWrap/>
          </w:tcPr>
          <w:p>
            <w:pPr>
              <w:jc w:val="center"/>
            </w:pPr>
            <w:r>
              <w:rPr/>
              <w:t xml:space="preserve">bon</w:t>
            </w:r>
          </w:p>
          <w:p>
            <w:pPr>
              <w:jc w:val="center"/>
            </w:pPr>
            <w:r>
              <w:rPr/>
              <w:t xml:space="preserve">(score=4)</w:t>
            </w:r>
          </w:p>
        </w:tc>
        <w:tc>
          <w:tcPr>
            <w:tcW w:w="1700" w:type="dxa"/>
            <w:tcMar>
              <w:top w:w="0" w:type="dxa"/>
              <w:start w:w="108" w:type="dxa"/>
              <w:bottom w:w="0" w:type="dxa"/>
              <w:end w:w="108" w:type="dxa"/>
            </w:tcMar>
            <w:vAlign w:val="top"/>
            <w:noWrap/>
          </w:tcPr>
          <w:p>
            <w:pPr>
              <w:jc w:val="center"/>
            </w:pPr>
            <w:r>
              <w:rPr/>
              <w:t xml:space="preserve">très bon</w:t>
            </w:r>
          </w:p>
          <w:p>
            <w:pPr>
              <w:jc w:val="center"/>
            </w:pPr>
            <w:r>
              <w:rPr/>
              <w:t xml:space="preserve">(score=5)</w:t>
            </w:r>
          </w:p>
        </w:tc>
        <w:tc>
          <w:tcPr>
            <w:tcW w:w="180" w:type="dxa"/>
            <w:tcMar>
              <w:top w:w="0" w:type="dxa"/>
              <w:start w:w="108" w:type="dxa"/>
              <w:bottom w:w="0" w:type="dxa"/>
              <w:end w:w="108" w:type="dxa"/>
            </w:tcMar>
            <w:vAlign w:val="top"/>
            <w:noWrap/>
          </w:tcPr>
          <w:p>
            <w:pPr>
              <w:jc w:val="center"/>
            </w:pPr>
            <w:r>
              <w:rPr/>
              <w:t xml:space="preserve">coefficient de pondération</w:t>
            </w:r>
          </w:p>
        </w:tc>
      </w:tr>
      <w:tr>
        <w:trPr>
          <w:trHeight w:val="747.0000000000001" w:hRule="exact"/>
        </w:trPr>
        <w:tc>
          <w:tcPr>
            <w:tcW w:w="0" w:type="dxa"/>
            <w:tcMar>
              <w:top w:w="0" w:type="dxa"/>
              <w:start w:w="108" w:type="dxa"/>
              <w:bottom w:w="0" w:type="dxa"/>
              <w:end w:w="108" w:type="dxa"/>
            </w:tcMar>
            <w:vAlign w:val="top"/>
            <w:noWrap/>
          </w:tcPr>
          <w:p>
            <w:pPr/>
            <w:r>
              <w:rPr/>
              <w:t xml:space="preserve">Capacité physique moyenne des différentes flottilles de pêche (puissance, jauge et longueur moyennes)</w:t>
            </w:r>
          </w:p>
        </w:tc>
        <w:tc>
          <w:tcPr>
            <w:tcW w:w="1700" w:type="dxa"/>
            <w:tcMar>
              <w:top w:w="0" w:type="dxa"/>
              <w:start w:w="108" w:type="dxa"/>
              <w:bottom w:w="0" w:type="dxa"/>
              <w:end w:w="108" w:type="dxa"/>
            </w:tcMar>
            <w:noWrap/>
          </w:tcPr>
          <w:p>
            <w:pPr>
              <w:jc w:val="center"/>
            </w:pPr>
            <w:r>
              <w:rPr/>
              <w:t xml:space="preserve"> </w:t>
            </w:r>
          </w:p>
        </w:tc>
        <w:tc>
          <w:tcPr>
            <w:tcW w:w="1700" w:type="dxa"/>
            <w:tcMar>
              <w:top w:w="0" w:type="dxa"/>
              <w:start w:w="108" w:type="dxa"/>
              <w:bottom w:w="0" w:type="dxa"/>
              <w:end w:w="108" w:type="dxa"/>
            </w:tcMar>
            <w:noWrap/>
          </w:tcPr>
          <w:p>
            <w:pPr>
              <w:jc w:val="center"/>
            </w:pPr>
            <w:r>
              <w:rPr/>
              <w:t xml:space="preserve">↗ des 3 métriques</w:t>
            </w:r>
          </w:p>
        </w:tc>
        <w:tc>
          <w:tcPr>
            <w:tcW w:w="180" w:type="dxa"/>
            <w:tcMar>
              <w:top w:w="0" w:type="dxa"/>
              <w:start w:w="108" w:type="dxa"/>
              <w:bottom w:w="0" w:type="dxa"/>
              <w:end w:w="108" w:type="dxa"/>
            </w:tcMar>
            <w:noWrap/>
          </w:tcPr>
          <w:p>
            <w:pPr>
              <w:jc w:val="center"/>
            </w:pPr>
            <w:r>
              <w:rPr/>
              <w:t xml:space="preserve">↗ de 2 métriques</w:t>
            </w:r>
          </w:p>
        </w:tc>
        <w:tc>
          <w:tcPr>
            <w:tcW w:w="1700" w:type="dxa"/>
            <w:tcMar>
              <w:top w:w="0" w:type="dxa"/>
              <w:start w:w="108" w:type="dxa"/>
              <w:bottom w:w="0" w:type="dxa"/>
              <w:end w:w="108" w:type="dxa"/>
            </w:tcMar>
            <w:noWrap/>
          </w:tcPr>
          <w:p>
            <w:pPr>
              <w:jc w:val="center"/>
            </w:pPr>
            <w:r>
              <w:rPr/>
              <w:t xml:space="preserve">↔ des 3 métriques</w:t>
            </w:r>
          </w:p>
        </w:tc>
        <w:tc>
          <w:tcPr>
            <w:tcW w:w="180" w:type="dxa"/>
            <w:tcMar>
              <w:top w:w="0" w:type="dxa"/>
              <w:start w:w="108" w:type="dxa"/>
              <w:bottom w:w="0" w:type="dxa"/>
              <w:end w:w="108" w:type="dxa"/>
            </w:tcMar>
            <w:noWrap/>
          </w:tcPr>
          <w:p>
            <w:pPr>
              <w:jc w:val="center"/>
            </w:pPr>
            <w:r>
              <w:rPr/>
              <w:t xml:space="preserve">↘ 1 métrique et ↔ ou ↗ de 2 métriques </w:t>
            </w:r>
          </w:p>
        </w:tc>
        <w:tc>
          <w:tcPr>
            <w:tcW w:w="1700" w:type="dxa"/>
            <w:tcMar>
              <w:top w:w="0" w:type="dxa"/>
              <w:start w:w="108" w:type="dxa"/>
              <w:bottom w:w="0" w:type="dxa"/>
              <w:end w:w="108" w:type="dxa"/>
            </w:tcMar>
            <w:noWrap/>
          </w:tcPr>
          <w:p>
            <w:pPr>
              <w:jc w:val="center"/>
            </w:pPr>
            <w:r>
              <w:rPr/>
              <w:t xml:space="preserve">↘ d’au moins 2 métriques</w:t>
            </w:r>
          </w:p>
        </w:tc>
        <w:tc>
          <w:tcPr>
            <w:tcW w:w="180" w:type="dxa"/>
            <w:tcMar>
              <w:top w:w="0" w:type="dxa"/>
              <w:start w:w="108" w:type="dxa"/>
              <w:bottom w:w="0" w:type="dxa"/>
              <w:end w:w="108" w:type="dxa"/>
            </w:tcMar>
            <w:noWrap/>
          </w:tcPr>
          <w:p>
            <w:pPr>
              <w:jc w:val="center"/>
            </w:pPr>
            <w:r>
              <w:rPr/>
              <w:t xml:space="preserve">1</w:t>
            </w:r>
          </w:p>
        </w:tc>
      </w:tr>
      <w:tr>
        <w:trPr>
          <w:trHeight w:val="747.0000000000001" w:hRule="exact"/>
        </w:trPr>
        <w:tc>
          <w:tcPr>
            <w:tcW w:w="0" w:type="dxa"/>
            <w:tcMar>
              <w:top w:w="0" w:type="dxa"/>
              <w:start w:w="108" w:type="dxa"/>
              <w:bottom w:w="0" w:type="dxa"/>
              <w:end w:w="108" w:type="dxa"/>
            </w:tcMar>
            <w:vAlign w:val="top"/>
            <w:noWrap/>
          </w:tcPr>
          <w:p>
            <w:pPr/>
            <w:r>
              <w:rPr/>
              <w:t xml:space="preserve">Capacité physique totale des différentes flottilles de pêche (puissance et jauge totales, nombre de navires)</w:t>
            </w:r>
          </w:p>
        </w:tc>
        <w:tc>
          <w:tcPr>
            <w:tcW w:w="1700" w:type="dxa"/>
            <w:tcMar>
              <w:top w:w="0" w:type="dxa"/>
              <w:start w:w="108" w:type="dxa"/>
              <w:bottom w:w="0" w:type="dxa"/>
              <w:end w:w="108" w:type="dxa"/>
            </w:tcMar>
            <w:noWrap/>
          </w:tcPr>
          <w:p>
            <w:pPr>
              <w:jc w:val="center"/>
            </w:pPr>
            <w:r>
              <w:rPr/>
              <w:t xml:space="preserve"> </w:t>
            </w:r>
          </w:p>
        </w:tc>
        <w:tc>
          <w:tcPr>
            <w:tcW w:w="1700" w:type="dxa"/>
            <w:tcMar>
              <w:top w:w="0" w:type="dxa"/>
              <w:start w:w="108" w:type="dxa"/>
              <w:bottom w:w="0" w:type="dxa"/>
              <w:end w:w="108" w:type="dxa"/>
            </w:tcMar>
            <w:noWrap/>
          </w:tcPr>
          <w:p>
            <w:pPr>
              <w:jc w:val="center"/>
            </w:pPr>
            <w:r>
              <w:rPr/>
              <w:t xml:space="preserve">↗ des 3 métriques</w:t>
            </w:r>
          </w:p>
        </w:tc>
        <w:tc>
          <w:tcPr>
            <w:tcW w:w="180" w:type="dxa"/>
            <w:tcMar>
              <w:top w:w="0" w:type="dxa"/>
              <w:start w:w="108" w:type="dxa"/>
              <w:bottom w:w="0" w:type="dxa"/>
              <w:end w:w="108" w:type="dxa"/>
            </w:tcMar>
            <w:noWrap/>
          </w:tcPr>
          <w:p>
            <w:pPr>
              <w:jc w:val="center"/>
            </w:pPr>
            <w:r>
              <w:rPr/>
              <w:t xml:space="preserve">↗ de 2 métriques</w:t>
            </w:r>
          </w:p>
        </w:tc>
        <w:tc>
          <w:tcPr>
            <w:tcW w:w="1700" w:type="dxa"/>
            <w:tcMar>
              <w:top w:w="0" w:type="dxa"/>
              <w:start w:w="108" w:type="dxa"/>
              <w:bottom w:w="0" w:type="dxa"/>
              <w:end w:w="108" w:type="dxa"/>
            </w:tcMar>
            <w:noWrap/>
          </w:tcPr>
          <w:p>
            <w:pPr>
              <w:jc w:val="center"/>
            </w:pPr>
            <w:r>
              <w:rPr/>
              <w:t xml:space="preserve">↔ des 3 métriques</w:t>
            </w:r>
          </w:p>
        </w:tc>
        <w:tc>
          <w:tcPr>
            <w:tcW w:w="180" w:type="dxa"/>
            <w:tcMar>
              <w:top w:w="0" w:type="dxa"/>
              <w:start w:w="108" w:type="dxa"/>
              <w:bottom w:w="0" w:type="dxa"/>
              <w:end w:w="108" w:type="dxa"/>
            </w:tcMar>
            <w:noWrap/>
          </w:tcPr>
          <w:p>
            <w:pPr>
              <w:jc w:val="center"/>
            </w:pPr>
            <w:r>
              <w:rPr/>
              <w:t xml:space="preserve">↘ 1 métrique et ↔ ou ↗ de 2 métriques </w:t>
            </w:r>
          </w:p>
        </w:tc>
        <w:tc>
          <w:tcPr>
            <w:tcW w:w="1700" w:type="dxa"/>
            <w:tcMar>
              <w:top w:w="0" w:type="dxa"/>
              <w:start w:w="108" w:type="dxa"/>
              <w:bottom w:w="0" w:type="dxa"/>
              <w:end w:w="108" w:type="dxa"/>
            </w:tcMar>
            <w:noWrap/>
          </w:tcPr>
          <w:p>
            <w:pPr>
              <w:jc w:val="center"/>
            </w:pPr>
            <w:r>
              <w:rPr/>
              <w:t xml:space="preserve">↘ d’au moins 2 métriques</w:t>
            </w:r>
          </w:p>
        </w:tc>
        <w:tc>
          <w:tcPr>
            <w:tcW w:w="180" w:type="dxa"/>
            <w:tcMar>
              <w:top w:w="0" w:type="dxa"/>
              <w:start w:w="108" w:type="dxa"/>
              <w:bottom w:w="0" w:type="dxa"/>
              <w:end w:w="108" w:type="dxa"/>
            </w:tcMar>
            <w:noWrap/>
          </w:tcPr>
          <w:p>
            <w:pPr>
              <w:jc w:val="center"/>
            </w:pPr>
            <w:r>
              <w:rPr/>
              <w:t xml:space="preserve">1</w:t>
            </w:r>
          </w:p>
        </w:tc>
      </w:tr>
    </w:tbl>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r>
        <w:rPr/>
        <w:t xml:space="preserve">investissement des navires dans leur capacité physique</w:t>
      </w:r>
      <w:br/>
      <w:r>
        <w:rPr/>
        <w:t xml:space="preserve">arrivée de nouveaux navires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Indicateur opérationnel</w:t>
      </w:r>
    </w:p>
    <w:p>
      <w:pPr/>
      <w:r>
        <w:rPr/>
        <w:t xml:space="preserve">Dans une AMP &gt; Iroise / Parc naturel marin</w:t>
      </w:r>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Peu sensible ou sensible à  moyen/long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disponibles dans le cadre d’un suivi pérenne mais pas à la bonne échelle</w:t>
      </w:r>
    </w:p>
    <w:p>
      <w:pPr/>
      <w:r>
        <w:rPr>
          <w:color w:val="B79247"/>
          <w:sz w:val="22"/>
          <w:szCs w:val="22"/>
          <w:b w:val="1"/>
          <w:bCs w:val="1"/>
        </w:rPr>
        <w:t xml:space="preserve">Facilement compréhensible pour le public visé</w:t>
      </w:r>
    </w:p>
    <w:p>
      <w:pPr/>
      <w:r>
        <w:rPr/>
        <w:t xml:space="preserve">Appropriation simple pour le non-spécialiste</w:t>
      </w:r>
    </w:p>
    <w:p>
      <w:pPr/>
      <w:r>
        <w:rPr>
          <w:color w:val="B79247"/>
          <w:sz w:val="22"/>
          <w:szCs w:val="22"/>
          <w:b w:val="1"/>
          <w:bCs w:val="1"/>
        </w:rPr>
        <w:t xml:space="preserve">Principaux avantages</w:t>
      </w:r>
    </w:p>
    <w:p>
      <w:pPr/>
      <w:r>
        <w:rPr/>
        <w:t xml:space="preserve">données disponibles, collectées au niveau national</w:t>
      </w:r>
    </w:p>
    <w:p>
      <w:pPr/>
      <w:r>
        <w:rPr/>
        <w:t xml:space="preserve">indicateurs utilisés également au niveau national pour suivre les flottilles de pêche</w:t>
      </w:r>
    </w:p>
    <w:p>
      <w:pPr/>
      <w:r>
        <w:rPr>
          <w:color w:val="B79247"/>
          <w:sz w:val="22"/>
          <w:szCs w:val="22"/>
          <w:b w:val="1"/>
          <w:bCs w:val="1"/>
        </w:rPr>
        <w:t xml:space="preserve">Principales limites</w:t>
      </w:r>
    </w:p>
    <w:p>
      <w:pPr/>
      <w:r>
        <w:rPr/>
        <w:t xml:space="preserve">nécessiterait d'avoir une information sur le capital investi par flottille pour avoir des informations sur l'investissement des navires</w:t>
      </w:r>
    </w:p>
    <w:p>
      <w:pPr/>
      <w:r>
        <w:rPr>
          <w:color w:val="B79247"/>
          <w:sz w:val="22"/>
          <w:szCs w:val="22"/>
          <w:b w:val="1"/>
          <w:bCs w:val="1"/>
        </w:rPr>
        <w:t xml:space="preserve">Pistes d'amélioration</w:t>
      </w:r>
    </w:p>
    <w:p>
      <w:pPr/>
      <w:r>
        <w:rPr/>
        <w:t xml:space="preserve">Une information sur le capital investi par flottille permettrait d'avoir des informations sur l'investissement des navires à mettre au regard des profits réalisés par leur activité de pêche.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r>
        <w:rPr/>
        <w:t xml:space="preserve">PNMI, 2010, Plan de gestion PNM Iroise - Finalités de gestion et carte des vocations, 730p.</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Reda NEVEU : reda.neveu@aires-marines.fr</w:t>
      </w:r>
    </w:p>
    <w:p>
      <w:pPr/>
      <w:r>
        <w:rPr>
          <w:color w:val="B79247"/>
          <w:sz w:val="22"/>
          <w:szCs w:val="22"/>
          <w:b w:val="1"/>
          <w:bCs w:val="1"/>
        </w:rPr>
        <w:t xml:space="preserve">Contributeur(s)</w:t>
      </w:r>
    </w:p>
    <w:p>
      <w:pPr/>
      <w:r>
        <w:rPr/>
        <w:t xml:space="preserve">Elodie GAMP : elodie.gamp@ofb.gouv.fr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65741B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FA95F9B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E22913BD"/>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2026-08-21T02:03:44+02:00</dcterms:created>
  <dcterms:modified xsi:type="dcterms:W3CDTF">2026-08-21T02:03:44+02:00</dcterms:modified>
</cp:coreProperties>
</file>

<file path=docProps/custom.xml><?xml version="1.0" encoding="utf-8"?>
<Properties xmlns="http://schemas.openxmlformats.org/officeDocument/2006/custom-properties" xmlns:vt="http://schemas.openxmlformats.org/officeDocument/2006/docPropsVTypes"/>
</file>