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Perception et cohésion sociale des pêcheurs de loisir</w:t>
      </w:r>
    </w:p>
    <w:p>
      <w:pPr/>
      <w:r>
        <w:rPr/>
        <w:t xml:space="preserve">Version du 28/01/2020 à 13:23:28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perception et cohésion sociale des pêcheurs de loisir a pour objectif d’appréhender le "sentiment d’appartenance à une communauté" de pêcheurs partageant un même espace, dans le cadre de leur activité de loisir. 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Perception et cohésion sociale des pêcheurs de loisir » permet d'évaluer la cohésion sociale des pêcheurs, c'est-à-dire leur sentiment d’appartenance à la communauté.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social</w:t>
      </w:r>
      <w:br/>
      <w:r>
        <w:rPr/>
        <w:t xml:space="preserve">Usages &gt; Pêche et aquaculture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Perception/appartenance des pêcheurs de loisir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Enquête réalisée auprès des pêcheurs récréatifs, réalisation de l'enquête par l'AMP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enquêtes sont menées sur des sites favorables pour rencontrer les populations de pêcheurs récréatifs à enquêter et répartis sur l’ensemble du territoire concerné 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de mars à aout,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1, voire plusieurs chargés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Les données sont acquises au moyen d’une enquête. Cette enquête est menée en face à face sur les sites puis, selon l’atteinte de l’échantillonnage fixé pour chaque population, par téléphone.</w:t>
      </w:r>
    </w:p>
    <w:p>
      <w:pPr>
        <w:numPr>
          <w:ilvl w:val="0"/>
          <w:numId w:val="1"/>
        </w:numPr>
      </w:pPr>
      <w:r>
        <w:rPr/>
        <w:t xml:space="preserve">Cibles de l’enquête : </w:t>
      </w:r>
    </w:p>
    <w:p>
      <w:pPr>
        <w:jc w:val="both"/>
      </w:pPr>
      <w:r>
        <w:rPr/>
        <w:t xml:space="preserve">- Pêcheurs de loisir pratiquant leur activité dans les communes du Parc naturel marin d’Iroise</w:t>
      </w:r>
    </w:p>
    <w:p>
      <w:pPr>
        <w:numPr>
          <w:ilvl w:val="0"/>
          <w:numId w:val="2"/>
        </w:numPr>
      </w:pPr>
      <w:r>
        <w:rPr/>
        <w:t xml:space="preserve">Question : </w:t>
      </w:r>
    </w:p>
    <w:tbl>
      <w:tblGrid>
        <w:gridCol w:w="160" w:type="dxa"/>
        <w:gridCol w:w="0" w:type="dxa"/>
      </w:tblGrid>
      <w:tblPr>
        <w:jc w:val="start"/>
        <w:tblW w:w="160" w:type="dxa"/>
        <w:tblLayout w:type="autofit"/>
      </w:tblP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 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oui, comment le décririez-vous ?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Niveau de perception/appartenance des pêcheurs de loisir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</w:p>
    <w:p>
      <w:pPr/>
      <w:r>
        <w:rPr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Le sentiment d’appartenance à la communauté de pêcheurs est évalué en fonction des réponses données aux questions 28bis et 29.</w:t>
      </w:r>
    </w:p>
    <w:p>
      <w:pPr>
        <w:jc w:val="both"/>
      </w:pPr>
      <w:r>
        <w:rPr/>
        <w:t xml:space="preserve">Pour chacune de ces questions, voici le barème d’attribution des points :</w:t>
      </w:r>
    </w:p>
    <w:p>
      <w:pPr>
        <w:jc w:val="both"/>
      </w:pPr>
      <w:r>
        <w:rPr/>
        <w:t xml:space="preserve"> </w:t>
      </w:r>
    </w:p>
    <w:tbl>
      <w:tblGrid>
        <w:gridCol w:w="160" w:type="dxa"/>
        <w:gridCol w:w="5415" w:type="dxa"/>
        <w:gridCol w:w="3060" w:type="dxa"/>
        <w:gridCol w:w="135" w:type="dxa"/>
      </w:tblGrid>
      <w:tblPr>
        <w:jc w:val="center"/>
        <w:tblW w:w="180" w:type="dxa"/>
        <w:tblLayout w:type="autofit"/>
      </w:tblP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réponse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barème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Pêcheur breton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Pêcheur du Finistère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Pêcheur en mer d’Iroise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Cf. question suivante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+2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>
        <w:jc w:val="both"/>
      </w:pPr>
      <w:r>
        <w:rPr/>
        <w:t xml:space="preserve">Le score total peut donc évoluer entre 0 et +3.</w:t>
      </w:r>
    </w:p>
    <w:p>
      <w:pPr>
        <w:jc w:val="both"/>
      </w:pPr>
      <w:r>
        <w:rPr/>
        <w:t xml:space="preserve">Les réponses obtenues à la question 29bis n’interviennent pas dans le calcul de la métrique. Les réponses qui y sont apportées sont à caractère informatif afin de savoir si l’on peut dégager de grandes tendances par rapport à cette notion de communauté des pêcheurs en Iroise.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tous les 4 ans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Le score total pour chaque personne interrogée est calculé puis un score moyen pour l’ensemble des pêcheurs de loisir. Ce dernier score est comparé à la grille d’analyse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4020" w:type="dxa"/>
        <w:gridCol w:w="1935" w:type="dxa"/>
        <w:gridCol w:w="1605" w:type="dxa"/>
        <w:gridCol w:w="1680" w:type="dxa"/>
        <w:gridCol w:w="1455" w:type="dxa"/>
        <w:gridCol w:w="1200" w:type="dxa"/>
        <w:gridCol w:w="1245" w:type="dxa"/>
      </w:tblGrid>
      <w:tblPr>
        <w:jc w:val="start"/>
        <w:tblW w:w="12150" w:type="dxa"/>
        <w:tblLayout w:type="autofit"/>
        <w:tblBorders>
          <w:top w:val="single" w:sz="10" w:color="solid"/>
          <w:left w:val="single" w:sz="10" w:color="solid"/>
          <w:right w:val="single" w:sz="10" w:color="solid"/>
          <w:bottom w:val="single" w:sz="10" w:color="solid"/>
          <w:insideH w:val="single" w:sz="10" w:color="solid"/>
          <w:insideV w:val="single" w:sz="10" w:color="solid"/>
        </w:tblBorders>
      </w:tblPr>
      <w:tr>
        <w:trPr>
          <w:trHeight w:val="525" w:hRule="exact"/>
        </w:trPr>
        <w:tc>
          <w:tcPr>
            <w:tcW w:w="4020" w:type="dxa"/>
            <w:tcMar>
              <w:top w:w="0" w:type="dxa"/>
              <w:start w:w="108" w:type="dxa"/>
              <w:bottom w:w="0" w:type="dxa"/>
              <w:end w:w="108" w:type="dxa"/>
            </w:tcMar>
            <w:tcBorders>
              <w:top w:val="single" w:sz="10" w:color="solid"/>
              <w:left w:val="single" w:sz="10" w:color="solid"/>
              <w:right w:val="single" w:sz="10" w:color="solid"/>
              <w:bottom w:val="single" w:sz="10" w:color="solid"/>
            </w:tcBorders>
            <w:noWrap/>
          </w:tcPr>
          <w:p>
            <w:pPr>
              <w:jc w:val="center"/>
            </w:pPr>
            <w:r>
              <w:rPr/>
              <w:t xml:space="preserve">Grille d’évaluation par population</w:t>
            </w:r>
          </w:p>
        </w:tc>
        <w:tc>
          <w:tcPr>
            <w:tcW w:w="193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160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</w:tc>
        <w:tc>
          <w:tcPr>
            <w:tcW w:w="168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mauvais</w:t>
            </w:r>
          </w:p>
        </w:tc>
        <w:tc>
          <w:tcPr>
            <w:tcW w:w="145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moyen</w:t>
            </w:r>
          </w:p>
        </w:tc>
        <w:tc>
          <w:tcPr>
            <w:tcW w:w="12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bon</w:t>
            </w:r>
          </w:p>
        </w:tc>
        <w:tc>
          <w:tcPr>
            <w:tcW w:w="124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</w:tc>
      </w:tr>
      <w:tr>
        <w:trPr>
          <w:trHeight w:val="547" w:hRule="exact"/>
        </w:trPr>
        <w:tc>
          <w:tcPr>
            <w:tcW w:w="402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Sentiment d’appartenance à la communauté – pêcheurs de loisir</w:t>
            </w:r>
          </w:p>
        </w:tc>
        <w:tc>
          <w:tcPr>
            <w:tcW w:w="193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60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 ; 0,5[</w:t>
            </w:r>
          </w:p>
        </w:tc>
        <w:tc>
          <w:tcPr>
            <w:tcW w:w="168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[0,5 ; 1[</w:t>
            </w:r>
          </w:p>
        </w:tc>
        <w:tc>
          <w:tcPr>
            <w:tcW w:w="145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 ; 1,5[</w:t>
            </w:r>
          </w:p>
        </w:tc>
        <w:tc>
          <w:tcPr>
            <w:tcW w:w="12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[1,5 ; 2[</w:t>
            </w:r>
          </w:p>
        </w:tc>
        <w:tc>
          <w:tcPr>
            <w:tcW w:w="124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 2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Enquête lourde à mettre en oeuvre</w:t>
      </w:r>
    </w:p>
    <w:p>
      <w:pPr/>
      <w:r>
        <w:rPr/>
        <w:t xml:space="preserve">Questions insuffisantes pour mesurer le sentiment d'appartenance des pêcheurs récréatifs</w:t>
      </w:r>
    </w:p>
    <w:p>
      <w:pPr/>
      <w:r>
        <w:rPr/>
        <w:t xml:space="preserve">Pas de recul dans le temps sur cet indicateur qui n'a pu être calculé qu'une seule fois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Revoir le contenu des enquêtes : réaliser dans un premier temps des entretiens permettant de construire une enquêtes plus ciblée et plus adaptée à la mesure du sentiment d'appartenance.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B4967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BF4335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2026-07-06T22:12:57+02:00</dcterms:created>
  <dcterms:modified xsi:type="dcterms:W3CDTF">2026-07-06T22:12:57+02:00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