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Mouillages écologiques</w:t>
      </w:r>
    </w:p>
    <w:p>
      <w:pPr/>
      <w:r>
        <w:rPr/>
        <w:t xml:space="preserve">Version du 28/01/2020 à 14:56:28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Mouillages écologiques » permet d’évaluer l'évolution du nombre de bouées d'amarrage au sein de zones de mouillages organisés.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F1. Le bon état des espèces et habitats à statut, patrimoniaux ou méritant de l’être [espèces rares, menacées]</w:t>
      </w:r>
      <w:br/>
      <w:r>
        <w:rPr/>
        <w:t xml:space="preserve">F6. Le développement durable des usages</w:t>
      </w:r>
      <w:br/>
      <w:r>
        <w:rPr/>
        <w:t xml:space="preserve">F8. La valeur[s] ajoutée[s] [sociale, économique, scientifique, éducative]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- RNM Cerbère-Banyuls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Usages &gt; Aspect écologique</w:t>
      </w:r>
      <w:br/>
      <w:r>
        <w:rPr/>
        <w:t xml:space="preserve">Usages &gt; Sports et loisirs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Réponses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Anonyme, 2006, Plan de Gestion de la Réserve Naturelle Marin de Cerbère-Banyuls : période 2007 - 2011, xxp.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Cerbère-Banyuls-sur-Mer / Réserve naturelle nationale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2026-10-06T02:19:45+02:00</dcterms:created>
  <dcterms:modified xsi:type="dcterms:W3CDTF">2026-10-06T02:19:45+02:00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