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réunions du conseil de gestion</w:t>
      </w:r>
    </w:p>
    <w:p>
      <w:pPr/>
      <w:r>
        <w:rPr/>
        <w:t xml:space="preserve">Version du 28/01/2020 à 15:30:28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w:t>
      </w:r>
    </w:p>
    <w:p>
      <w:pPr/>
      <w:r>
        <w:rPr/>
        <w:t xml:space="preserve">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w:t>
      </w:r>
    </w:p>
    <w:p>
      <w:pPr/>
      <w:r>
        <w:rPr/>
        <w:t xml:space="preserve">La non-participation est d’ailleurs prise en compte dans le règlement intérieur, pouvant ainsi conduire à l’exclusion du représentant ou de la personne qualifiée concernés.</w:t>
      </w:r>
    </w:p>
    <w:p>
      <w:pPr/>
      <w:r>
        <w:rPr/>
        <w:t xml:space="preserve">L’indicateur « Nombre de réunions du conseil de gestion » permet d’évaluer le nombre annuel de réunion du conseil de gestion. Certains PNM prennent aussi en compte le nombre de réunions du bureau.</w:t>
      </w:r>
    </w:p>
    <w:p>
      <w:pPr/>
      <w:r>
        <w:rPr>
          <w:color w:val="B79247"/>
          <w:sz w:val="22"/>
          <w:szCs w:val="22"/>
          <w:b w:val="1"/>
          <w:bCs w:val="1"/>
        </w:rPr>
        <w:t xml:space="preserve">Objet évalué</w:t>
      </w:r>
    </w:p>
    <w:p>
      <w:pPr/>
      <w:r>
        <w:rPr/>
        <w:t xml:space="preserve">L’indicateur « Nombre de réunions du conseil de gestion » permet d’évaluer le nombre annuel de réunion du conseil de gestion.</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PNM Iroise :</w:t>
      </w:r>
      <w:br/>
      <w:r>
        <w:rPr/>
        <w:t xml:space="preserve">PNM Golfe du Lion :</w:t>
      </w:r>
    </w:p>
    <w:p>
      <w:pPr/>
      <w:r>
        <w:rPr>
          <w:color w:val="B79247"/>
          <w:sz w:val="22"/>
          <w:szCs w:val="22"/>
          <w:b w:val="1"/>
          <w:bCs w:val="1"/>
        </w:rPr>
        <w:t xml:space="preserve">Thème(s)</w:t>
      </w:r>
    </w:p>
    <w:p>
      <w:pPr/>
      <w:r>
        <w:rPr/>
        <w:t xml:space="preserve">Gouvernance &gt; Fonctionnement interne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