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Infractions par unité d'effort</w:t>
      </w:r>
    </w:p>
    <w:p>
      <w:pPr/>
      <w:r>
        <w:rPr/>
        <w:t xml:space="preserve">Version du 31/01/2020 à 11:18:31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Infractions par unité d'effort » permet d’évaluer le nombre de procès-verbaux dressés pour des infractions commises dans le périmètre de l'AMP en rapport avec le nombre de missions de contrôle menées par les agents de l'AMP.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Infractions par unité d'effort » permet d’évaluer le nombre de procès-verbaux dressés au regard du nombre de missions de contrôle.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Mayotte </w:t>
      </w:r>
      <w:b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  <w:br/>
      <w:r>
        <w:rPr/>
        <w:t xml:space="preserve">Gouvernance &gt;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Glorieuses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2026-10-06T02:19:47+02:00</dcterms:created>
  <dcterms:modified xsi:type="dcterms:W3CDTF">2026-10-06T02:19:47+02:00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