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Richesse spécifique (mammifères marins)</w:t>
      </w:r>
    </w:p>
    <w:p>
      <w:pPr/>
      <w:r>
        <w:rPr/>
        <w:t xml:space="preserve">Version du 31/01/2020 à 13:44:31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L’indicateur « Richesse spécifique (mammifères marins) » permet d’évaluer la diversité spécifique des mammifères marins.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F1. Le bon état des espèces et habitats à statut, patrimoniaux ou méritant de l’être [espèces rares, menacées]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/>
        <w:t xml:space="preserve">- RNM cerbère-Banyuls </w:t>
      </w:r>
      <w:br/>
      <w:r>
        <w:rPr/>
        <w:t xml:space="preserve">- PNM golfe du Lion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Patrimoine naturel &gt; Mammifères marins et tortues marines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Réglementation</w:t>
      </w:r>
    </w:p>
    <w:p>
      <w:pPr/>
      <w:r>
        <w:rPr/>
        <w:t xml:space="preserve">DCSMM [Directive-cadre Stratégie pour le milieu marin]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Etat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Di-Méglio N., David L., Roul M., 2015, Abondance et répartition spatio-temporelle et fonctionnelle du Grand dauphin dans le Golfe du Lion. Projet GDEGeM - Grand Dauphin Etude et Gestion en Méditerranée 2013-2015, 79p.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en développement</w:t>
      </w:r>
    </w:p>
    <w:p>
      <w:pPr/>
      <w:r>
        <w:rPr/>
        <w:t xml:space="preserve">Dans une AMP &gt; golfe du Lion / Parc naturel marin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Indicateur opérationnel</w:t>
      </w:r>
    </w:p>
    <w:p>
      <w:pPr/>
      <w:r>
        <w:rPr/>
        <w:t xml:space="preserve">Dans une AMP &gt; Cerbère-Banyuls-sur-Mer / Réserve naturelle nationale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Basé sur des publications, rapports  scientifiques, réglementation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Réactivité</w:t>
      </w:r>
    </w:p>
    <w:p>
      <w:pPr/>
      <w:r>
        <w:rPr/>
        <w:t xml:space="preserve">Peu sensible ou sensible à  moyen/long terme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calibrée [seuils ou tendances]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Disponibilités des données</w:t>
      </w:r>
    </w:p>
    <w:p>
      <w:pPr/>
      <w:r>
        <w:rPr/>
        <w:t xml:space="preserve">Données non collectées dans le cadre d’un suivi existant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2026-05-20T08:28:04+02:00</dcterms:created>
  <dcterms:modified xsi:type="dcterms:W3CDTF">2026-05-20T08:28:04+02:00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