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Richesse spécifique (mammifères marins)</w:t>
      </w:r>
    </w:p>
    <w:p>
      <w:pPr/>
      <w:r>
        <w:rPr/>
        <w:t xml:space="preserve">Version du 31/01/2020 à 13:44:31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Richesse spécifique (mammifères marins) » permet d’évaluer la diversité spécifique des mammifères marins.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F1. Le bon état des espèces et habitats à statut, patrimoniaux ou méritant de l’être [espèces rares, menacées]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- RNM cerbère-Banyuls </w:t>
      </w:r>
      <w:br/>
      <w:r>
        <w:rPr/>
        <w:t xml:space="preserve">- PNM golfe du Lion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Patrimoine naturel &gt; Mammifères marins et tortues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Réglementation</w:t>
      </w:r>
    </w:p>
    <w:p>
      <w:pPr/>
      <w:r>
        <w:rPr/>
        <w:t xml:space="preserve">DCSMM [Directive-cadre Stratégie pour le milieu marin]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Di-Méglio N., David L., Roul M., 2015, Abondance et répartition spatio-temporelle et fonctionnelle du Grand dauphin dans le Golfe du Lion. Projet GDEGeM - Grand Dauphin Etude et Gestion en Méditerranée 2013-2015, 79p.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en développement</w:t>
      </w:r>
    </w:p>
    <w:p>
      <w:pPr/>
      <w:r>
        <w:rPr/>
        <w:t xml:space="preserve">Dans une AMP &gt; golfe du Lion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AMP &gt; Cerbère-Banyuls-sur-Mer / Réserve naturelle nationale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Peu sensible ou sensible à  moyen/long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non collectées dans le cadre d’un suivi existant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2026-07-06T22:04:31+02:00</dcterms:created>
  <dcterms:modified xsi:type="dcterms:W3CDTF">2026-07-06T22:04:31+02:00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