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EEI – Ecological Evaluation Index </w:t>
      </w:r>
    </w:p>
    <w:p>
      <w:pPr/>
      <w:r>
        <w:rPr/>
        <w:t xml:space="preserve">Version du 05/06/2024 à 21:11:05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Les perturbations locales d’origine anthropique sont connues pour induire un basculement d’un écosystème dominé par les espèces pérennes vers un écosystème dominé par les espèces opportunistes.</w:t>
      </w:r>
    </w:p>
    <w:p>
      <w:pPr/>
      <w:r>
        <w:rPr/>
        <w:t xml:space="preserve">L’indicateur EEI (Ecological Evaluation Index), créé en Grèce, propose d’utiliser les macroalgues comme bioindicateurs de ce basculement, en mesurant le taux de recouvrement de deux groupes fonctionnels :</w:t>
      </w:r>
    </w:p>
    <w:p>
      <w:pPr/>
      <w:r>
        <w:rPr/>
        <w:t xml:space="preserve">	</w:t>
      </w:r>
    </w:p>
    <w:p>
      <w:pPr>
        <w:numPr>
          <w:ilvl w:val="0"/>
          <w:numId w:val="1"/>
        </w:numPr>
      </w:pPr>
      <w:r>
        <w:rPr/>
        <w:t xml:space="preserve">le groupe 1, ESG (Ecological Status Group) I, comprenant les espèces pérennes, qui possèdent un thalle épais ou calcaire, se développent lentement et ont un cycle de vie long,</w:t>
      </w:r>
    </w:p>
    <w:p>
      <w:pPr/>
      <w:r>
        <w:rPr/>
        <w:t xml:space="preserve">	</w:t>
      </w:r>
    </w:p>
    <w:p>
      <w:pPr>
        <w:numPr>
          <w:ilvl w:val="0"/>
          <w:numId w:val="1"/>
        </w:numPr>
      </w:pPr>
      <w:r>
        <w:rPr/>
        <w:t xml:space="preserve">le groupe 2, ESG II, comprenant les espèces opportunistes qui sont des algues filamenteuses avec un cycle de vie rapide.</w:t>
      </w:r>
    </w:p>
    <w:p>
      <w:pPr/>
      <w:r>
        <w:rPr/>
        <w:t xml:space="preserve">Cet indicateur concerne l'étage infralittoral rocheux dominé par Cystoseira spp.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EEI évalue les perturbations d'origine anthropiques au travers d'un changement d'espèces macroalgues dominantes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F2. Le bon état des espèces et habitats hors statut, cibles de la gestion de l’AMP [espèces halieutiques exploitées, espèces très abondantes localement donnant une responsabilité biogéographique au site d’accueil]</w:t>
      </w:r>
      <w:br/>
      <w:r>
        <w:rPr/>
        <w:t xml:space="preserve">F3. Le rendu de fonctions écologiques clefs [frayères, nourriceries, nurseries, productivité, repos, alimentation, migration..]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Patrimoine naturel &gt; Habitats benthiques</w:t>
      </w:r>
      <w:br/>
      <w:r>
        <w:rPr/>
        <w:t xml:space="preserve">Qualité de l'eau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Ecosystèmes tempérés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Etat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Orfanidis S., Panayotidis P., Stamatis N., 2001, Ecological evaluation of transitional and coastal waters: A marine benthic macrophytes-based model, Mediterranean Marine Science, vol. 2, (n°2), 45-66p.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Sensible et réactif à court terme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calibrée [seuils ou tendances]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non collectées dans le cadre d’un suivi existant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/>
        <w:t xml:space="preserve">- Pas besoin d’un site de référence, la liste des espèces appartenant aux deux groupes fonctionnels suffit.</w:t>
      </w:r>
      <w:br/>
      <w:r>
        <w:rPr/>
        <w:t xml:space="preserve">- Indice basé sur un échantillonnage saisonnier, il reflète donc des conditions environnementales moyennes et intègre les blooms saisonniers de certaines espèces d’algues vertes</w:t>
      </w:r>
      <w:br/>
      <w:r>
        <w:rPr/>
        <w:t xml:space="preserve">- Des hautes valeurs de l’indice EEI indiquent un intérêt écologique et économique important de la zone.</w:t>
      </w:r>
      <w:br/>
      <w:r>
        <w:rPr/>
        <w:t xml:space="preserve">- Possibilité de comparer les valeurs de l’indice à différentes échelles et zones géographiques.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/>
        <w:t xml:space="preserve">- Echantillonnage destructif</w:t>
      </w:r>
      <w:br/>
      <w:r>
        <w:rPr/>
        <w:t xml:space="preserve">- Groupes ESG I et II variables selon la zone d’étude (par exemple, sur les récifs coralliens, les espèces considérées comme opportunistes possèdent parfois un thalle épais et un cycle de vie long).</w:t>
      </w:r>
      <w:br/>
      <w:r>
        <w:rPr/>
        <w:t xml:space="preserve">- Connaissance de la biologie des algues nécessaire pour les placer dans les groupes ESG I et ESG II.</w:t>
      </w:r>
      <w:br/>
      <w:r>
        <w:rPr/>
        <w:t xml:space="preserve">- Les groupes ESG I et ESG II comprennent une variation considérable de réponses fonctionnelles.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/>
      <w:r>
        <w:rPr/>
        <w:t xml:space="preserve">- Une identification exacte des limites des ESG et des ESC pourrait améliorer la précision de l'EEI.</w:t>
      </w:r>
      <w:br/>
      <w:r>
        <w:rPr/>
        <w:t xml:space="preserve">- L'identification des relations des ESG aux différents types de stress / perturbation ou états des écosystèmes pourrait améliorer la spécification EEI.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p>
      <w:pPr/>
      <w:r>
        <w:rPr/>
        <w:t xml:space="preserve">Elodie GAMP : elodie.gamp@ofb.gouv.fr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5B31AC3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2026-08-21T01:59:41+02:00</dcterms:created>
  <dcterms:modified xsi:type="dcterms:W3CDTF">2026-08-21T01:59:41+02:00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