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Aire d'occurence (mammifères marins)</w:t>
      </w:r>
    </w:p>
    <w:p>
      <w:pPr/>
      <w:r>
        <w:rPr/>
        <w:t xml:space="preserve">Version du 31/01/2020 à 14:11:31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Aire d'occurrence (mammifères marins) » permet d’évaluer l'évolution de la répartition des populations de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Aire d'occurrence (mammifères marins) » permet d’évaluer l'évolution de la répartition des populations de mammifères marins.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F3. Le rendu de fonctions écologiques clefs [frayères, nourriceries, nurseries, productivité, repos, alimentation, migration..]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Richesse spécifique (mammifères marins)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Abondances relatives (mammifères marins)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  <w:br/>
      <w:r>
        <w:rPr/>
        <w:t xml:space="preserve">Dans une AMP &gt; Glorieuses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2026-08-21T02:03:44+02:00</dcterms:created>
  <dcterms:modified xsi:type="dcterms:W3CDTF">2026-08-21T02:03:44+02:00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