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Concentrations en pathogènes bactériologiques dans l'eau et le biote</w:t>
      </w:r>
    </w:p>
    <w:p>
      <w:pPr/>
      <w:r>
        <w:rPr/>
        <w:t xml:space="preserve">Version du 31/01/2020 à 14:14:31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Concentrations en pathogènes bactériologiques dans l'eau et le biote » permet d’évaluer les concentrations de deux catégories de germes représentatives d’une contamination d’origine fécale du milieu (Escherichia coli et Entérocoques intestinaux).</w:t>
      </w:r>
    </w:p>
    <w:p>
      <w:pPr/>
      <w:r>
        <w:rPr/>
        <w:t xml:space="preserve">Les concentrations en pathogènes bactériologiques sont suivies aussi bien dans la colonne (ARS : eaux de baignade) que dans le biote (Remi Ifremer : zones de production conchylicoles).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les concentrations de deux catégories de germes représentatives d’une contamination d’origine fécale du milieu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estuaires Picards et de la mer d’Opale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EPMO, 2015, Plan de gestion PNM Estuaires Picards et Mer d’Opale, 381p.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estuaires picards et mer d'Opale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Les prélèvements sont effectués sur les sites de baignade entre juin et septembre.</w:t>
      </w:r>
      <w:br/>
      <w:r>
        <w:rPr/>
        <w:t xml:space="preserve">Etendre le suivi sur toute l’année ? Pour le réseau de surveillance Remi, l’échantillonnage peut être mensuel, bimestriel ou adapté.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2026-07-07T02:30:12+02:00</dcterms:created>
  <dcterms:modified xsi:type="dcterms:W3CDTF">2026-07-07T02:30:12+02:00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