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des substances chimiques réglementées à ce jour</w:t>
      </w:r>
    </w:p>
    <w:p>
      <w:pPr/>
      <w:r>
        <w:rPr/>
        <w:t xml:space="preserve">Version du 31/01/2020 à 14:19:31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des substances chimiques réglementées à ce jour » permet d’évaluer les niveaux en micropolluants qu’il ne faut pas excéder pour que les eaux du Parc puissent être considérées en bon état chimique pour les compartiments « colonne d’eau », « biote » ou « sédiments », en se concentrant prioritairement sur ceux réglementés.</w:t>
      </w:r>
    </w:p>
    <w:p>
      <w:pPr/>
      <w:r>
        <w:rPr/>
        <w:t xml:space="preserve">Un indice est calculé pour chaque compartiment :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Le biote, en tant que matrice intégratrice de la contamination par les substances hydrophobes permet d’améliorer l’évaluation de l’état chimique des masses d’eau</w:t>
      </w:r>
    </w:p>
    <w:p>
      <w:pPr/>
      <w:r>
        <w:rPr/>
        <w:t xml:space="preserve">	</w:t>
      </w:r>
    </w:p>
    <w:p>
      <w:pPr>
        <w:numPr>
          <w:ilvl w:val="0"/>
          <w:numId w:val="1"/>
        </w:numPr>
      </w:pPr>
      <w:r>
        <w:rPr/>
        <w:t xml:space="preserve">L’indice centré sur les sédiments permet d’améliorer l’évaluation de l’état chimique des masses d’eau en raison de leur caractère intégrateur de la contamination par les substances hydrophobes.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les niveaux en micropolluants pour les compartiments « colonne d’eau », « biote » ou « sédiments ».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- PNM Golfe du Lion </w:t>
      </w:r>
      <w:br/>
      <w:r>
        <w:rPr/>
        <w:t xml:space="preserve">- 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47873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2026-08-21T04:17:39+02:00</dcterms:created>
  <dcterms:modified xsi:type="dcterms:W3CDTF">2026-08-21T04:17:39+02:00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