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Nutriments</w:t>
      </w:r>
    </w:p>
    <w:p>
      <w:pPr/>
      <w:r>
        <w:rPr/>
        <w:t xml:space="preserve">Version du 31/01/2020 à 14:41:31</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rPr>
          <w:color w:val="0087a5"/>
          <w:sz w:val="26"/>
          <w:szCs w:val="26"/>
          <w:b w:val="1"/>
          <w:bCs w:val="1"/>
          <w:caps w:val="0"/>
        </w:rPr>
        <w:t xml:space="preserve">Définitions et objectifs</w:t>
      </w:r>
    </w:p>
    <w:p>
      <w:pPr/>
      <w:r>
        <w:rPr/>
        <w:t xml:space="preserve">L’indicateur « Nutriments » permet d’évaluer les concentrations des paramètres "nutriment" (nitrate, phosphates, silicates). Ces évaluations sont réalisés dans le cadre des suivis réalisés pour la DCE.</w:t>
      </w:r>
    </w:p>
    <w:p>
      <w:pPr/>
      <w:r>
        <w:rPr>
          <w:color w:val="B79247"/>
          <w:sz w:val="22"/>
          <w:szCs w:val="22"/>
          <w:b w:val="1"/>
          <w:bCs w:val="1"/>
        </w:rPr>
        <w:t xml:space="preserve">Objet évalué</w:t>
      </w:r>
    </w:p>
    <w:p>
      <w:pPr/>
      <w:r>
        <w:rPr/>
        <w:t xml:space="preserve">L’indicateur permet d’évaluer les concentrations des paramètres "nutriment" </w:t>
      </w:r>
    </w:p>
    <w:p>
      <w:pPr/>
      <w:r>
        <w:rPr>
          <w:color w:val="B79247"/>
          <w:sz w:val="22"/>
          <w:szCs w:val="22"/>
          <w:b w:val="1"/>
          <w:bCs w:val="1"/>
        </w:rPr>
        <w:t xml:space="preserve">Finalité(s)</w:t>
      </w:r>
    </w:p>
    <w:p>
      <w:pPr/>
      <w:r>
        <w:rPr/>
        <w:t xml:space="preserve">F4. Le bon état des eaux marines</w:t>
      </w:r>
    </w:p>
    <w:p>
      <w:pPr/>
      <w:r>
        <w:rPr>
          <w:color w:val="B79247"/>
          <w:sz w:val="22"/>
          <w:szCs w:val="22"/>
          <w:b w:val="1"/>
          <w:bCs w:val="1"/>
        </w:rPr>
        <w:t xml:space="preserve">Déclinaison locale des finalités</w:t>
      </w:r>
    </w:p>
    <w:p>
      <w:pPr/>
      <w:r>
        <w:rPr/>
        <w:t xml:space="preserve">- PNM Iroise </w:t>
      </w:r>
      <w:br/>
      <w:r>
        <w:rPr/>
        <w:t xml:space="preserve">- PNM Mayotte </w:t>
      </w:r>
      <w:br/>
      <w:r>
        <w:rPr/>
        <w:t xml:space="preserve">- PNM golfe du Lion </w:t>
      </w:r>
      <w:br/>
      <w:r>
        <w:rPr/>
        <w:t xml:space="preserve">- PNM estuaires Picards et de la mer d’Opale</w:t>
      </w:r>
    </w:p>
    <w:p>
      <w:pPr/>
      <w:r>
        <w:rPr>
          <w:color w:val="B79247"/>
          <w:sz w:val="22"/>
          <w:szCs w:val="22"/>
          <w:b w:val="1"/>
          <w:bCs w:val="1"/>
        </w:rPr>
        <w:t xml:space="preserve">Thème(s)</w:t>
      </w:r>
    </w:p>
    <w:p>
      <w:pPr/>
      <w:r>
        <w:rPr/>
        <w:t xml:space="preserve">Qualité de l'eau</w:t>
      </w:r>
    </w:p>
    <w:p>
      <w:pPr/>
      <w:r>
        <w:rPr>
          <w:color w:val="B79247"/>
          <w:sz w:val="22"/>
          <w:szCs w:val="22"/>
          <w:b w:val="1"/>
          <w:bCs w:val="1"/>
        </w:rPr>
        <w:t xml:space="preserve">Réglementation</w:t>
      </w:r>
    </w:p>
    <w:p>
      <w:pPr/>
      <w:r>
        <w:rPr/>
        <w:t xml:space="preserve">DCE [Directive-cadre sur l'eau]</w:t>
      </w:r>
      <w:br/>
      <w:r>
        <w:rPr/>
        <w:t xml:space="preserve">DCSMM [Directive-cadre Stratégie pour le milieu marin]</w:t>
      </w:r>
    </w:p>
    <w:p>
      <w:pPr/>
      <w:r>
        <w:rPr>
          <w:color w:val="B79247"/>
          <w:sz w:val="22"/>
          <w:szCs w:val="22"/>
          <w:b w:val="1"/>
          <w:bCs w:val="1"/>
        </w:rPr>
        <w:t xml:space="preserve">Ecorégion</w:t>
      </w:r>
    </w:p>
    <w:p>
      <w:pPr/>
      <w:r>
        <w:rPr/>
        <w:t xml:space="preserve">Océan mondial</w:t>
      </w:r>
    </w:p>
    <w:p>
      <w:pPr/>
      <w:r>
        <w:rPr>
          <w:color w:val="B79247"/>
          <w:sz w:val="22"/>
          <w:szCs w:val="22"/>
          <w:b w:val="1"/>
          <w:bCs w:val="1"/>
        </w:rPr>
        <w:t xml:space="preserve">DPSIR</w:t>
      </w:r>
    </w:p>
    <w:p>
      <w:pPr/>
      <w:r>
        <w:rPr/>
        <w:t xml:space="preserve">Etat</w:t>
      </w:r>
    </w:p>
    <w:p>
      <w:pPr/>
      <w:r>
        <w:rPr>
          <w:color w:val="B79247"/>
          <w:sz w:val="22"/>
          <w:szCs w:val="22"/>
          <w:b w:val="1"/>
          <w:bCs w:val="1"/>
        </w:rPr>
        <w:t xml:space="preserve">Référence principale</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Prélèvements d'eau des masses d'eau DCE</w:t>
      </w:r>
    </w:p>
    <w:p>
      <w:pPr/>
      <w:r>
        <w:rPr>
          <w:b w:val="1"/>
          <w:bCs w:val="1"/>
        </w:rPr>
        <w:t xml:space="preserve">Source des données</w:t>
      </w:r>
    </w:p>
    <w:p>
      <w:pPr/>
      <w:r>
        <w:rPr/>
        <w:t xml:space="preserve">AMP (si besoin de suréchantillonnage du suivi DCE)</w:t>
      </w:r>
      <w:br/>
    </w:p>
    <w:p>
      <w:pPr/>
      <w:r>
        <w:rPr>
          <w:b w:val="1"/>
          <w:bCs w:val="1"/>
        </w:rPr>
        <w:t xml:space="preserve">Stratégie spatiale</w:t>
      </w:r>
    </w:p>
    <w:p>
      <w:pPr/>
      <w:r>
        <w:rPr/>
        <w:t xml:space="preserve">Chaque masse d'eaux concernée dans le périmètre de l'AMP</w:t>
      </w:r>
    </w:p>
    <w:p>
      <w:pPr/>
      <w:r>
        <w:rPr>
          <w:b w:val="1"/>
          <w:bCs w:val="1"/>
        </w:rPr>
        <w:t xml:space="preserve">Stratégie temporelle</w:t>
      </w:r>
    </w:p>
    <w:p>
      <w:pPr/>
      <w:r>
        <w:rPr/>
        <w:t xml:space="preserve">bimensuel</w:t>
      </w:r>
      <w:br/>
      <w:r>
        <w:rPr/>
        <w:t xml:space="preserve">prélèvements réalisés avant ou au plus près de la pleine mer de morte-eau selon les sites de prélèvements</w:t>
      </w:r>
    </w:p>
    <w:p>
      <w:pPr/>
      <w:r>
        <w:rPr>
          <w:b w:val="1"/>
          <w:bCs w:val="1"/>
        </w:rPr>
        <w:t xml:space="preserve">Moyens humains et matériels</w:t>
      </w:r>
    </w:p>
    <w:p>
      <w:pPr/>
      <w:r>
        <w:rPr/>
        <w:t xml:space="preserve">Matériel : </w:t>
      </w:r>
      <w:br/>
      <w:r>
        <w:rPr/>
        <w:t xml:space="preserve">- embarcation </w:t>
      </w:r>
      <w:br/>
      <w:r>
        <w:rPr/>
        <w:t xml:space="preserve">- une bouteille de prélèvement d’eau 5 L</w:t>
      </w:r>
      <w:br/>
      <w:r>
        <w:rPr/>
        <w:t xml:space="preserve">- 3  flacons étiquetés 500 ml (pour les mesures nitrates, phosphates, silicates)</w:t>
      </w:r>
      <w:br/>
      <w:r>
        <w:rPr/>
        <w:t xml:space="preserve">- 1 flacon 4l opacifié (pour la mesure de chlorophylle a)</w:t>
      </w:r>
      <w:br/>
      <w:r>
        <w:rPr/>
        <w:t xml:space="preserve">- un filtre</w:t>
      </w:r>
      <w:br/>
      <w:r>
        <w:rPr/>
        <w:t xml:space="preserve">- une glacière</w:t>
      </w:r>
      <w:br/>
      <w:r>
        <w:rPr/>
        <w:t xml:space="preserve">- un pain de glace </w:t>
      </w:r>
      <w:br/>
      <w:r>
        <w:rPr/>
        <w:t xml:space="preserve">- fiches de terrain</w:t>
      </w:r>
      <w:br/>
      <w:r>
        <w:rPr/>
        <w:t xml:space="preserve">- sonde salinité/Température</w:t>
      </w:r>
      <w:br/>
      <w:br/>
      <w:r>
        <w:rPr/>
        <w:t xml:space="preserve">Moyens humains : </w:t>
      </w:r>
      <w:br/>
      <w:r>
        <w:rPr/>
        <w:t xml:space="preserve">- à définir en fonction des sites de prélèvement (2/3 agents)</w:t>
      </w:r>
      <w:br/>
    </w:p>
    <w:p>
      <w:pPr/>
      <w:r>
        <w:rPr>
          <w:b w:val="1"/>
          <w:bCs w:val="1"/>
        </w:rPr>
        <w:t xml:space="preserve">Protocole de récolte</w:t>
      </w:r>
    </w:p>
    <w:p>
      <w:pPr/>
      <w:r>
        <w:rPr/>
        <w:t xml:space="preserve">Prélèvement nitrates/phosphates/silicates :</w:t>
      </w:r>
    </w:p>
    <w:p>
      <w:pPr/>
      <w:r>
        <w:rPr/>
        <w:t xml:space="preserve">Cette méthodologie de prélèvement est basée sur un ouvrage d’hydrologie de référence d’Aminot et Kerouel (2004). Les prélèvements d’eau sont effectués à l’aide de la bouteille de prélèvement et répartis dans 3 flacons pour des analyses différentes (silicates/nitrates/phosphates). </w:t>
      </w:r>
    </w:p>
    <w:p>
      <w:pPr/>
      <w:r>
        <w:rPr/>
        <w:t xml:space="preserve">La température et la salinité sont prises à l’aide de la sonde. Le pH sera analysé 24h après le prélèvement au laboratoire. </w:t>
      </w:r>
    </w:p>
    <w:p>
      <w:pPr/>
      <w:r>
        <w:rPr/>
        <w:t xml:space="preserve">Les 3 flacons de prélèvement sont maintenus au froid et expédié au laboratoire d’analyse.</w:t>
      </w:r>
    </w:p>
    <w:p>
      <w:pPr/>
      <w:r>
        <w:rPr/>
        <w:t xml:space="preserve">Dans le cadre de la DCE, l’azote inorganique dissous (NID) est mesuré, c'est-à-dire la somme des concentrations en nitrates, nitrites et ammonium. En revanche, les analyses réalisées par le PNMI ne concernent que les concentrations en nitrates et ammonium exprimés en µmol/l.</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B79247"/>
          <w:sz w:val="22"/>
          <w:szCs w:val="22"/>
          <w:b w:val="1"/>
          <w:bCs w:val="1"/>
        </w:rPr>
        <w:t xml:space="preserve">Données nutriments DCE</w:t>
      </w:r>
    </w:p>
    <w:p>
      <w:pPr/>
      <w:r>
        <w:rPr>
          <w:b w:val="1"/>
          <w:bCs w:val="1"/>
        </w:rPr>
        <w:t xml:space="preserve">Source des données</w:t>
      </w:r>
    </w:p>
    <w:p>
      <w:pPr/>
      <w:r>
        <w:rPr/>
        <w:t xml:space="preserve">IFREMER dans le cadre du REBENT</w:t>
      </w:r>
    </w:p>
    <w:p>
      <w:pPr/>
      <w:r>
        <w:rPr>
          <w:b w:val="1"/>
          <w:bCs w:val="1"/>
        </w:rPr>
        <w:t xml:space="preserve">Stratégie spatiale</w:t>
      </w:r>
    </w:p>
    <w:p>
      <w:pPr/>
      <w:r>
        <w:rPr/>
        <w:t xml:space="preserve">Chaque masse d'eau contenue tout ou partie dans l'AMP</w:t>
      </w:r>
    </w:p>
    <w:p>
      <w:pPr/>
      <w:r>
        <w:rPr>
          <w:b w:val="1"/>
          <w:bCs w:val="1"/>
        </w:rPr>
        <w:t xml:space="preserve">Stratégie temporelle</w:t>
      </w:r>
    </w:p>
    <w:p>
      <w:pPr/>
      <w:r>
        <w:rPr/>
        <w:t xml:space="preserve">mensuel ?</w:t>
      </w:r>
    </w:p>
    <w:p>
      <w:pPr/>
      <w:r>
        <w:rPr>
          <w:b w:val="1"/>
          <w:bCs w:val="1"/>
        </w:rPr>
        <w:t xml:space="preserve">Moyens humains et matériels</w:t>
      </w:r>
    </w:p>
    <w:p>
      <w:pPr/>
      <w:r>
        <w:rPr/>
        <w:t xml:space="preserve">Matériel : /</w:t>
      </w:r>
      <w:br/>
      <w:r>
        <w:rPr/>
        <w:t xml:space="preserve">Moyens humains : /</w:t>
      </w:r>
    </w:p>
    <w:p>
      <w:pPr/>
      <w:r>
        <w:rPr>
          <w:b w:val="1"/>
          <w:bCs w:val="1"/>
        </w:rPr>
        <w:t xml:space="preserve">Protocole de récolte</w:t>
      </w:r>
    </w:p>
    <w:p>
      <w:pPr/>
      <w:r>
        <w:rPr/>
        <w:t xml:space="preserve">L’acquisition des résultats des suivis pour la DCE se fait lors de la mise à jour du site internet :  http://envlit.ifremer.fr/var/envlit/storage/documents/atlas_DCE/scripts/site/carte.php?map=LB  à partir des données « nutriments » (nitrates + phosphates) sur les six masses d’eau considérées.</w:t>
      </w:r>
    </w:p>
    <w:p>
      <w:pPr/>
      <w:r>
        <w:rPr/>
        <w:t xml:space="preserve">Dans le cadre de la DCE, l’azote inorganique dissous (NID) est mesuré, c'est-à-dire la somme des concentrations en nitrates, nitrites et ammonium.</w:t>
      </w:r>
    </w:p>
    <w:p>
      <w:pPr/>
      <w:r>
        <w:rPr/>
        <w:t xml:space="preserve">En revanche, les analyses réalisées par le PNMI ne concernent que les concentrations en nitrates et ammonium exprimés en µmol/l.</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0087a5"/>
          <w:sz w:val="26"/>
          <w:szCs w:val="26"/>
          <w:b w:val="1"/>
          <w:bCs w:val="1"/>
          <w:caps w:val="0"/>
        </w:rPr>
        <w:t xml:space="preserve">Métriques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t xml:space="preserve">A l'échelle de l'AMP</w:t>
      </w:r>
    </w:p>
    <w:p>
      <w:pPr/>
      <w:r>
        <w:rPr>
          <w:color w:val="B79247"/>
          <w:sz w:val="22"/>
          <w:szCs w:val="22"/>
          <w:b w:val="1"/>
          <w:bCs w:val="1"/>
        </w:rPr>
        <w:t xml:space="preserve">Stratégie temporelle</w:t>
      </w:r>
    </w:p>
    <w:p>
      <w:pPr/>
      <w:r>
        <w:rPr/>
        <w:t xml:space="preserve">annuellement</w:t>
      </w:r>
    </w:p>
    <w:p>
      <w:pPr/>
      <w:r>
        <w:rPr>
          <w:color w:val="B79247"/>
          <w:sz w:val="22"/>
          <w:szCs w:val="22"/>
          <w:b w:val="1"/>
          <w:bCs w:val="1"/>
        </w:rPr>
        <w:t xml:space="preserve">Moyens humains et matériels</w:t>
      </w:r>
    </w:p>
    <w:p>
      <w:pPr/>
      <w:r>
        <w:rPr/>
        <w:t xml:space="preserve">Moyens humains : 1 chargé de mission</w:t>
      </w:r>
    </w:p>
    <w:p>
      <w:pPr/>
      <w:r>
        <w:rPr>
          <w:color w:val="B79247"/>
          <w:sz w:val="22"/>
          <w:szCs w:val="22"/>
          <w:b w:val="1"/>
          <w:bCs w:val="1"/>
        </w:rPr>
        <w:t xml:space="preserve">Méthode de calcul</w:t>
      </w:r>
    </w:p>
    <w:p>
      <w:pPr/>
      <w:r>
        <w:rPr/>
        <w:t xml:space="preserve">Le résultat de l'indicateur est basé sur les résultats de la DCE, le résultat le plus déclassant étant pris en compte et donnant l’état de l'indicateur.</w:t>
      </w:r>
    </w:p>
    <w:p>
      <w:pPr/>
      <w:r>
        <w:rPr/>
        <w:t xml:space="preserve">Les données de sur-échantillonnage ne sont actuellement pas prises en compte dans le calcul de l’indicateur mais exploitées pour l’interprétation  des données biologiques. Ainsi, pour chaque point de suivi complémentaire, les résultats sont comparés aux résultats pour les masses d’eau DCE.</w:t>
      </w:r>
    </w:p>
    <w:p>
      <w:pPr/>
      <w:r>
        <w:rPr/>
        <w:t xml:space="preserve">Attention : afin de pouvoir comparer les résultats DCE et ceux de l'AMP, il convient, lors de la récupération des données de la DCE, d’aller voir le détail des résultats afin d’obtenir les données sur les nitrates et ammonium pour pouvoir réellement comparer les deux sources de données.</w:t>
      </w:r>
    </w:p>
    <w:p>
      <w:pPr/>
      <w:r>
        <w:rPr>
          <w:color w:val="B79247"/>
          <w:sz w:val="22"/>
          <w:szCs w:val="22"/>
          <w:b w:val="1"/>
          <w:bCs w:val="1"/>
        </w:rPr>
        <w:t xml:space="preserve">Lecture</w:t>
      </w:r>
    </w:p>
    <w:p>
      <w:pPr/>
      <w:r>
        <w:rPr>
          <w:color w:val="B79247"/>
          <w:sz w:val="22"/>
          <w:szCs w:val="22"/>
          <w:b w:val="1"/>
          <w:bCs w:val="1"/>
        </w:rPr>
        <w:t xml:space="preserve">Grille de lecture</w:t>
      </w:r>
    </w:p>
    <w:tbl>
      <w:tblGrid>
        <w:gridCol/>
        <w:gridCol/>
        <w:gridCol/>
        <w:gridCol/>
        <w:gridCol/>
        <w:gridCol/>
        <w:gridCol/>
        <w:gridCol/>
      </w:tblGrid>
      <w:tblPr>
        <w:tblW w:w="0" w:type="auto"/>
        <w:tblLayout w:type="autofit"/>
        <w:bidiVisual w:val="0"/>
      </w:tblPr>
      <w:tr>
        <w:trPr/>
        <w:tc>
          <w:tcPr/>
          <w:p>
            <w:pPr/>
            <w:r>
              <w:rPr/>
              <w:t xml:space="preserve">Métrique</w:t>
            </w:r>
          </w:p>
        </w:tc>
        <w:tc>
          <w:tcPr/>
          <w:p>
            <w:pPr/>
            <w:r>
              <w:rPr/>
              <w:t xml:space="preserve">indéterminé</w:t>
            </w:r>
          </w:p>
        </w:tc>
        <w:tc>
          <w:tcPr/>
          <w:p>
            <w:pPr/>
            <w:r>
              <w:rPr/>
              <w:t xml:space="preserve">très mauvais</w:t>
            </w:r>
          </w:p>
          <w:p>
            <w:pPr/>
            <w:r>
              <w:rPr/>
              <w:t xml:space="preserve">(score=1)</w:t>
            </w:r>
          </w:p>
        </w:tc>
        <w:tc>
          <w:tcPr/>
          <w:p>
            <w:pPr/>
            <w:r>
              <w:rPr/>
              <w:t xml:space="preserve">mauvais</w:t>
            </w:r>
          </w:p>
          <w:p>
            <w:pPr/>
            <w:r>
              <w:rPr/>
              <w:t xml:space="preserve">(score=2)</w:t>
            </w:r>
          </w:p>
        </w:tc>
        <w:tc>
          <w:tcPr/>
          <w:p>
            <w:pPr/>
            <w:r>
              <w:rPr/>
              <w:t xml:space="preserve">moyen</w:t>
            </w:r>
          </w:p>
          <w:p>
            <w:pPr/>
            <w:r>
              <w:rPr/>
              <w:t xml:space="preserve">(score=3)</w:t>
            </w:r>
          </w:p>
        </w:tc>
        <w:tc>
          <w:tcPr/>
          <w:p>
            <w:pPr/>
            <w:r>
              <w:rPr/>
              <w:t xml:space="preserve">bon</w:t>
            </w:r>
          </w:p>
          <w:p>
            <w:pPr/>
            <w:r>
              <w:rPr/>
              <w:t xml:space="preserve">(score=4)</w:t>
            </w:r>
          </w:p>
        </w:tc>
        <w:tc>
          <w:tcPr/>
          <w:p>
            <w:pPr/>
            <w:r>
              <w:rPr/>
              <w:t xml:space="preserve">très bon</w:t>
            </w:r>
          </w:p>
          <w:p>
            <w:pPr/>
            <w:r>
              <w:rPr/>
              <w:t xml:space="preserve">(score=5)</w:t>
            </w:r>
          </w:p>
        </w:tc>
        <w:tc>
          <w:tcPr/>
          <w:p>
            <w:pPr/>
            <w:r>
              <w:rPr/>
              <w:t xml:space="preserve">coefficient de pondération</w:t>
            </w:r>
          </w:p>
        </w:tc>
      </w:tr>
      <w:tr>
        <w:trPr/>
        <w:tc>
          <w:tcPr/>
          <w:p>
            <w:pPr/>
            <w:r>
              <w:rPr/>
              <w:t xml:space="preserve">Concentration en nitrates </w:t>
            </w:r>
          </w:p>
          <w:p>
            <w:pPr/>
            <w:r>
              <w:rPr/>
              <w:t xml:space="preserve">(NID de la DCE) </w:t>
            </w:r>
          </w:p>
        </w:tc>
        <w:tc>
          <w:tcPr/>
          <w:p>
            <w:pPr/>
            <w:r>
              <w:rPr/>
              <w:t xml:space="preserve"> </w:t>
            </w:r>
          </w:p>
        </w:tc>
        <w:tc>
          <w:tcPr>
            <w:gridSpan w:val="3"/>
          </w:tcPr>
          <w:p>
            <w:pPr/>
            <w:r>
              <w:rPr/>
              <w:t xml:space="preserve">Indice NID = 3</w:t>
            </w:r>
          </w:p>
        </w:tc>
        <w:tc>
          <w:tcPr/>
          <w:p>
            <w:pPr/>
            <w:r>
              <w:rPr/>
              <w:t xml:space="preserve">Indice NID = 2</w:t>
            </w:r>
          </w:p>
          <w:p>
            <w:pPr/>
            <w:r>
              <w:rPr/>
              <w:t xml:space="preserve"> </w:t>
            </w:r>
          </w:p>
          <w:p>
            <w:pPr/>
            <w:r>
              <w:rPr/>
              <w:t xml:space="preserve">[NID]hivernal &lt;29 µM ou si l’élément chlorophylle en bon état</w:t>
            </w:r>
          </w:p>
        </w:tc>
        <w:tc>
          <w:tcPr/>
          <w:p>
            <w:pPr/>
            <w:r>
              <w:rPr/>
              <w:t xml:space="preserve">Indice NID = 1</w:t>
            </w:r>
          </w:p>
          <w:p>
            <w:pPr/>
            <w:r>
              <w:rPr/>
              <w:t xml:space="preserve"> </w:t>
            </w:r>
          </w:p>
          <w:p>
            <w:pPr/>
            <w:r>
              <w:rPr/>
              <w:t xml:space="preserve">[NID]hivernal &lt;16 µM</w:t>
            </w:r>
          </w:p>
        </w:tc>
        <w:tc>
          <w:tcPr/>
          <w:p>
            <w:pPr/>
            <w:r>
              <w:rPr/>
              <w:t xml:space="preserve">1</w:t>
            </w:r>
          </w:p>
        </w:tc>
      </w:tr>
    </w:tbl>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b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Sensible et réactif à court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disponibles dans le cadre d’un suivi pérenne à une échelle spatio-temporelle adaptée</w:t>
      </w:r>
    </w:p>
    <w:p>
      <w:pPr/>
      <w:r>
        <w:rPr>
          <w:color w:val="B79247"/>
          <w:sz w:val="22"/>
          <w:szCs w:val="22"/>
          <w:b w:val="1"/>
          <w:bCs w:val="1"/>
        </w:rPr>
        <w:t xml:space="preserve">Principaux avantages</w:t>
      </w:r>
    </w:p>
    <w:p>
      <w:pPr/>
      <w:r>
        <w:rPr>
          <w:color w:val="B79247"/>
          <w:sz w:val="22"/>
          <w:szCs w:val="22"/>
          <w:b w:val="1"/>
          <w:bCs w:val="1"/>
        </w:rPr>
        <w:t xml:space="preserve">Principales limites</w:t>
      </w:r>
    </w:p>
    <w:p>
      <w:pPr/>
      <w:r>
        <w:rPr>
          <w:color w:val="B79247"/>
          <w:sz w:val="22"/>
          <w:szCs w:val="22"/>
          <w:b w:val="1"/>
          <w:bCs w:val="1"/>
        </w:rPr>
        <w:t xml:space="preserve">Pistes d'amélioration</w:t>
      </w:r>
    </w:p>
    <w:p>
      <w:pPr/>
      <w:r>
        <w:rPr/>
        <w:t xml:space="preserve">Elément de qualité utilisé  pour l'évaluation de l'état écologique des ME.</w:t>
      </w:r>
      <w:br/>
      <w:r>
        <w:rPr/>
        <w:t xml:space="preserve">faut-il utiliser "nutriments DCE" et regrouper nitrates et phosphates ou bien avoir un indice DCE NID et un autre indice PO4 ?</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Reda NEVEU : reda.neveu@aires-marines.fr</w:t>
      </w:r>
    </w:p>
    <w:p>
      <w:pPr/>
      <w:r>
        <w:rPr>
          <w:color w:val="B79247"/>
          <w:sz w:val="22"/>
          <w:szCs w:val="22"/>
          <w:b w:val="1"/>
          <w:bCs w:val="1"/>
        </w:rPr>
        <w:t xml:space="preserve">Contributeur(s)</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2026-05-20T09:15:42+02:00</dcterms:created>
  <dcterms:modified xsi:type="dcterms:W3CDTF">2026-05-20T09:15:42+02:00</dcterms:modified>
</cp:coreProperties>
</file>

<file path=docProps/custom.xml><?xml version="1.0" encoding="utf-8"?>
<Properties xmlns="http://schemas.openxmlformats.org/officeDocument/2006/custom-properties" xmlns:vt="http://schemas.openxmlformats.org/officeDocument/2006/docPropsVTypes"/>
</file>