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Biodiversité du zooplancton</w:t>
      </w:r>
    </w:p>
    <w:p>
      <w:pPr/>
      <w:r>
        <w:rPr/>
        <w:t xml:space="preserve">Version du 03/02/2020 à 09:17:03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"Biodiversité du zooplancton" est un des paramètre biologiques. Il permet d’évaluer l'évolution des taxons dominants (indice de Shannon) de zooplancton.</w:t>
      </w:r>
    </w:p>
    <w:p>
      <w:pPr/>
      <w:r>
        <w:rPr>
          <w:color w:val="B79247"/>
          <w:sz w:val="22"/>
          <w:szCs w:val="22"/>
          <w:b w:val="1"/>
          <w:bCs w:val="1"/>
        </w:rPr>
        <w:t xml:space="preserve">Objet évalué</w:t>
      </w:r>
    </w:p>
    <w:p>
      <w:pPr/>
      <w:r>
        <w:rPr/>
        <w:t xml:space="preserve">L’indicateur « Biodiversité du zooplancton » permet d’évaluer l'évolution des taxons dominants de zooplancton</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Composition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composition du zooplancton par classes de taille.</w:t>
      </w:r>
    </w:p>
    <w:p>
      <w:pPr/>
      <w:r>
        <w:rPr/>
        <w:t xml:space="preserve"> </w:t>
      </w:r>
    </w:p>
    <w:p>
      <w:pPr>
        <w:jc w:val="both"/>
      </w:pPr>
      <w:r>
        <w:rPr/>
        <w:t xml:space="preserve">Au préalable, chaque flacon sera renseigné de la date, du lieu de prélèvement et du type de prélèvement (horizontal ou vertical).</w:t>
      </w:r>
    </w:p>
    <w:p>
      <w:pPr>
        <w:jc w:val="both"/>
      </w:pPr>
      <w:r>
        <w:rPr/>
        <w:t xml:space="preserve">Les échantillons de zooplancton sont recueillis sur les sites définis au moyen d’un filet à plancton. </w:t>
      </w:r>
    </w:p>
    <w:p>
      <w:pPr>
        <w:jc w:val="both"/>
      </w:pPr>
      <w:r>
        <w:rPr/>
        <w:t xml:space="preserve">Sur chaque site, deux prélèvements seront effectués : </w:t>
      </w:r>
    </w:p>
    <w:p>
      <w:pPr>
        <w:jc w:val="both"/>
      </w:pPr>
      <w:r>
        <w:rPr/>
        <w:t xml:space="preserve">- Un prélèvement dit horizontal, c'est-à-dire en sub-surface ;</w:t>
      </w:r>
    </w:p>
    <w:p>
      <w:pPr>
        <w:jc w:val="both"/>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jc w:val="both"/>
        <w:ind w:left="0" w:right="0" w:firstLine="0" w:hanging="0"/>
      </w:pPr>
      <w:r>
        <w:rPr/>
        <w:t xml:space="preserve">Le filet est équipé d’une bouée pour maintenir l’ouverture en sub-surface.</w:t>
      </w:r>
    </w:p>
    <w:p>
      <w:pPr>
        <w:jc w:val="both"/>
        <w:ind w:left="0" w:right="0" w:firstLine="0" w:hanging="0"/>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jc w:val="both"/>
        <w:ind w:left="0" w:right="0" w:firstLine="0" w:hanging="0"/>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jc w:val="both"/>
      </w:pPr>
      <w:r>
        <w:rPr/>
        <w:t xml:space="preserve"> </w:t>
      </w:r>
    </w:p>
    <w:p>
      <w:pPr>
        <w:jc w:val="both"/>
      </w:pPr>
      <w:r>
        <w:rPr/>
        <w:t xml:space="preserve">Chaque échantillon est ensuite analysé en laboratoire à l’aide d’un appareil type Zooscan afin de déterminer le nombre d’individus par m3, leur répartition par classes de taille et les principales familles présentes.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d'individus par famille de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r>
        <w:rPr>
          <w:color w:val="B79247"/>
          <w:sz w:val="22"/>
          <w:szCs w:val="22"/>
          <w:b w:val="1"/>
          <w:bCs w:val="1"/>
        </w:rPr>
        <w:t xml:space="preserve">Répartition des individus de zooplancton par classe de taille</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graphique présentant le nombre d’individus de zooplancton par m3 (abscisse) en fonction de la taille (ordonnée) est analysé pour chaque échantillon. L’analyse de la pente de la droite obtenue permettra d’établir s’il existe un déséquilibre entre les différentes classes de taille.</w:t>
      </w:r>
    </w:p>
    <w:p>
      <w:pPr/>
      <w:r>
        <w:rPr>
          <w:color w:val="B79247"/>
          <w:sz w:val="22"/>
          <w:szCs w:val="22"/>
          <w:b w:val="1"/>
          <w:bCs w:val="1"/>
        </w:rPr>
        <w:t xml:space="preserve">Lecture</w:t>
      </w:r>
    </w:p>
    <w:p>
      <w:pPr/>
      <w:r>
        <w:rPr/>
        <w:t xml:space="preserve">A préciser</w:t>
      </w:r>
    </w:p>
    <w:p>
      <w:pPr/>
      <w:r>
        <w:rPr>
          <w:color w:val="B79247"/>
          <w:sz w:val="22"/>
          <w:szCs w:val="22"/>
          <w:b w:val="1"/>
          <w:bCs w:val="1"/>
        </w:rPr>
        <w:t xml:space="preserve">Grille de lecture</w:t>
      </w:r>
    </w:p>
    <w:p>
      <w:pPr/>
      <w:r>
        <w:rPr/>
        <w:t xml:space="preserve">A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CAC0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0BF2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8F1C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CAD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