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Flux de contaminants</w:t>
      </w:r>
    </w:p>
    <w:p>
      <w:pPr/>
      <w:r>
        <w:rPr/>
        <w:t xml:space="preserve">Version du 03/02/2020 à 09:36:03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Flux de contaminants » permet d’évaluer les apports fluviaux en contaminants (métaux lourds, lindane, atrazine).</w:t>
      </w:r>
    </w:p>
    <w:p>
      <w:pPr/>
      <w:r>
        <w:rPr/>
        <w:t xml:space="preserve">Ces données d'apports fluviaux disponibles sur les grands fleuves et quelques fleuves côtiers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Riverine Inputs and Direct Discharges to Convention Waters - Case study on normalisation and trend analyses for OSPAR RID data, MonitoringandAssessmentSeries, 37p.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2026-10-06T03:10:19+02:00</dcterms:created>
  <dcterms:modified xsi:type="dcterms:W3CDTF">2026-10-06T03:10:19+02:00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