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Positionnement des marges terrestres et maritimes des mangroves</w:t>
      </w:r>
    </w:p>
    <w:p>
      <w:pPr/>
      <w:r>
        <w:rPr/>
        <w:t xml:space="preserve">Version du 03/02/2020 à 09:38:03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Positionnement des marges terrestres et maritimes des mangroves » permet d’évaluer l'augmentation du niveau de la mer.</w:t>
      </w:r>
    </w:p>
    <w:p>
      <w:pPr/>
      <w:r>
        <w:rPr/>
        <w:t xml:space="preserve">Application : - Nouvelle Calédonie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Job S., Virly S., 2009, Définition d’indicateurs de suivi de l’état de santé des zones récifo‐lagonaires de Nouvelle‐Calédonie face au changement climatique, Rapport final d’opération ZONECO, 194p.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grand lagon sud / Parc provincial [Nouvelle-Calédonie, Province Sud]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2026-10-06T03:18:33+02:00</dcterms:created>
  <dcterms:modified xsi:type="dcterms:W3CDTF">2026-10-06T03:18:33+02:00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