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Wetland cover index</w:t>
      </w:r>
    </w:p>
    <w:p>
      <w:pPr/>
      <w:r>
        <w:rPr/>
        <w:t xml:space="preserve">Version du 03/02/2020 à 09:39:03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Wetland cover index » permet d’évaluer le ratio de superficie de mangrove arbustive sur la surface totale de mangroves.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Job S., Virly S., 2009, Définition d’indicateurs de suivi de l’état de santé des zones récifo‐lagonaires de Nouvelle‐Calédonie face au changement climatique, Rapport final d’opération ZONECO, 194p.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hors contexte AMP : indicateur opérationnel (en Nouvelle Calédonie notamment)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grand lagon sud / Parc provincial [Nouvelle-Calédonie, Province Sud]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2026-08-21T12:22:16+02:00</dcterms:created>
  <dcterms:modified xsi:type="dcterms:W3CDTF">2026-08-21T12:22:16+02:00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