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000000"/>
          <w:sz w:val="40"/>
          <w:szCs w:val="40"/>
          <w:b w:val="1"/>
          <w:bCs w:val="1"/>
          <w:smallCaps w:val="0"/>
          <w:caps w:val="1"/>
        </w:rPr>
        <w:t xml:space="preserve">Mortalité du zoobenthos et des poissons en lien avec des phénomènes d'hypoxie/anoxie ou d'algues toxiques</w:t>
      </w:r>
    </w:p>
    <w:p>
      <w:pPr/>
      <w:r>
        <w:rPr/>
        <w:t xml:space="preserve">Version du 03/02/2020 à 09:50:03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DÉFINITIONS ET PRINCIPALES CARACTÉRISTIQUES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Définitions et objectifs</w:t>
      </w:r>
    </w:p>
    <w:p>
      <w:pPr/>
      <w:r>
        <w:rPr/>
        <w:t xml:space="preserve">L’indicateur « Mortalité du zoobenthos et des poissons en lien avec des phénomènes d'hypoxie/anoxie ou d'algues toxiques » permet d’évaluer les phénomènes de mortalité (en relation avec le déficit en oxygène ou des algues toxiques) et changements à long terme dans la biomasse et la composition des espèces de zoobenthos.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Objet évalué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Finalité(s)</w:t>
      </w:r>
    </w:p>
    <w:p>
      <w:pPr/>
      <w:r>
        <w:rPr/>
        <w:t xml:space="preserve">F2. Le bon état des espèces et habitats hors statut, cibles de la gestion de l’AMP [espèces halieutiques exploitées, espèces très abondantes localement donnant une responsabilité biogéographique au site d’accueil]</w:t>
      </w:r>
      <w:br/>
      <w:r>
        <w:rPr/>
        <w:t xml:space="preserve">F4. Le bon état des eaux marines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Déclinaison locale des finalités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Thème(s)</w:t>
      </w:r>
    </w:p>
    <w:p>
      <w:pPr/>
      <w:r>
        <w:rPr/>
        <w:t xml:space="preserve">Qualité de l'eau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Réglementation</w:t>
      </w:r>
    </w:p>
    <w:p>
      <w:pPr/>
      <w:r>
        <w:rPr/>
        <w:t xml:space="preserve">OSPAR [Convention pour la protection du milieu marin de l'Atlantique du Nord-Est]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Ecorégion</w:t>
      </w:r>
    </w:p>
    <w:p>
      <w:pPr/>
      <w:r>
        <w:rPr/>
        <w:t xml:space="preserve">Océan mondial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DPSIR</w:t>
      </w:r>
    </w:p>
    <w:p>
      <w:pPr/>
      <w:r>
        <w:rPr/>
        <w:t xml:space="preserve">Impacts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Référence principale</w:t>
      </w:r>
    </w:p>
    <w:p>
      <w:pPr/>
      <w:r>
        <w:rPr/>
        <w:t xml:space="preserve">OSPAR Commission, 2017, Eutrophication Status of the OSPAR Maritime Area - Third Integrated Report on the Eutrophication Status of the OSPAR Maritime Area, EutrophicationSeries, 166p.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Indicateurs corrélés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PRODUCTION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Données brutes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Métriques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INDICATEUR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Stratégie spatiale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Stratégie temporelle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Moyens humains et matériels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Méthode de calcul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Lecture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Grille de lecture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DISCUSSION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Causes d‘évolution temporelles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Points forts / points faibles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Applicable à différents contextes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Applicabilité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Indicateur opérationnel</w:t>
      </w:r>
    </w:p>
    <w:p>
      <w:pPr/>
      <w:r>
        <w:rPr/>
        <w:t xml:space="preserve">Dans un autre contexte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Bases conceptuelles solides</w:t>
      </w:r>
    </w:p>
    <w:p>
      <w:pPr/>
      <w:r>
        <w:rPr/>
        <w:t xml:space="preserve">Basé sur des publications, rapports  scientifiques, réglementation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Principaux avantages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Principales limites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Pistes d'amélioration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BIBLIOGRAPHIE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Bibliographie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CREDITS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Auteur</w:t>
      </w:r>
    </w:p>
    <w:p>
      <w:pPr/>
      <w:r>
        <w:rPr/>
        <w:t xml:space="preserve">Reda NEVEU : reda.neveu@aires-marines.fr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Contributeur(s)</w:t>
      </w:r>
    </w:p>
    <w:sectPr>
      <w:type w:val="continuous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fr-FR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fr-FR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2026-10-06T03:18:31+02:00</dcterms:created>
  <dcterms:modified xsi:type="dcterms:W3CDTF">2026-10-06T03:18:31+02:00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