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Mortalité du zoobenthos et des poissons en lien avec des phénomènes d'hypoxie/anoxie ou d'algues toxiques</w:t>
      </w:r>
    </w:p>
    <w:p>
      <w:pPr/>
      <w:r>
        <w:rPr/>
        <w:t xml:space="preserve">Version du 03/02/2020 à 09:50:03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Mortalité du zoobenthos et des poissons en lien avec des phénomènes d'hypoxie/anoxie ou d'algues toxiques » permet d’évaluer les phénomènes de mortalité (en relation avec le déficit en oxygène ou des algues toxiques) et changements à long terme dans la biomasse et la composition des espèces de zoobenthos.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F2. Le bon état des espèces et habitats hors statut, cibles de la gestion de l’AMP [espèces halieutiques exploitées, espèces très abondantes localement donnant une responsabilité biogéographique au site d’accueil]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OSPAR Commission, 2017, Eutrophication Status of the OSPAR Maritime Area - Third Integrated Report on the Eutrophication Status of the OSPAR Maritime Area, EutrophicationSeries, 166p.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2026-05-20T09:15:47+02:00</dcterms:created>
  <dcterms:modified xsi:type="dcterms:W3CDTF">2026-05-20T09:15:47+02:00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