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000000"/>
          <w:sz w:val="40"/>
          <w:szCs w:val="40"/>
          <w:b w:val="1"/>
          <w:bCs w:val="1"/>
          <w:smallCaps w:val="0"/>
          <w:caps w:val="1"/>
        </w:rPr>
        <w:t xml:space="preserve">Etat chimique des masses d'eau côtières (DCE)</w:t>
      </w:r>
    </w:p>
    <w:p>
      <w:pPr/>
      <w:r>
        <w:rPr/>
        <w:t xml:space="preserve">Version du 03/02/2020 à 10:34:03</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DÉFINITIONS ET PRINCIPALES CARACTÉRISTIQUES</w:t>
      </w:r>
    </w:p>
    <w:p/>
    <w:p>
      <w:pPr/>
      <w:r>
        <w:rPr>
          <w:color w:val="0087a5"/>
          <w:sz w:val="26"/>
          <w:szCs w:val="26"/>
          <w:b w:val="1"/>
          <w:bCs w:val="1"/>
          <w:caps w:val="0"/>
        </w:rPr>
        <w:t xml:space="preserve">Définitions et objectifs</w:t>
      </w:r>
    </w:p>
    <w:p>
      <w:pPr/>
      <w:r>
        <w:rPr/>
        <w:t xml:space="preserve">L’état chimique d’une masse d’eau littorale est déterminé à partir d’une liste de polluants (DCE 2000/60/CE). Les valeurs seuils des éléments chimiques sont établies par rapport à leurs effets toxiques sur l’environnement et la santé, il s’agit de Normes de Qualité Environnementales (NQE) (2008/105/CE). La dernière Directive NQE 2013/39/CE établit de nouveaux seuils qui seront utilisés lors du prochain état des lieux (2019).</w:t>
      </w:r>
    </w:p>
    <w:p>
      <w:pPr/>
      <w:r>
        <w:rPr>
          <w:color w:val="B79247"/>
          <w:sz w:val="22"/>
          <w:szCs w:val="22"/>
          <w:b w:val="1"/>
          <w:bCs w:val="1"/>
        </w:rPr>
        <w:t xml:space="preserve">Objet évalué</w:t>
      </w:r>
    </w:p>
    <w:p>
      <w:pPr/>
      <w:r>
        <w:rPr>
          <w:color w:val="B79247"/>
          <w:sz w:val="22"/>
          <w:szCs w:val="22"/>
          <w:b w:val="1"/>
          <w:bCs w:val="1"/>
        </w:rPr>
        <w:t xml:space="preserve">Finalité(s)</w:t>
      </w:r>
    </w:p>
    <w:p>
      <w:pPr/>
      <w:r>
        <w:rPr/>
        <w:t xml:space="preserve">F4. Le bon état des eaux marines</w:t>
      </w:r>
    </w:p>
    <w:p>
      <w:pPr/>
      <w:r>
        <w:rPr>
          <w:color w:val="B79247"/>
          <w:sz w:val="22"/>
          <w:szCs w:val="22"/>
          <w:b w:val="1"/>
          <w:bCs w:val="1"/>
        </w:rPr>
        <w:t xml:space="preserve">Déclinaison locale des finalités</w:t>
      </w:r>
    </w:p>
    <w:p>
      <w:pPr/>
      <w:r>
        <w:rPr/>
        <w:t xml:space="preserve">- RNN Cerbère-Banyuls : </w:t>
      </w:r>
      <w:br/>
      <w:r>
        <w:rPr/>
        <w:t xml:space="preserve">- PNM Iroise : </w:t>
      </w:r>
      <w:br/>
      <w:br/>
      <w:r>
        <w:rPr/>
        <w:t xml:space="preserve">- PNM Mayotte </w:t>
      </w:r>
      <w:br/>
      <w:r>
        <w:rPr/>
        <w:t xml:space="preserve">- PNM Golfe du Lion </w:t>
      </w:r>
      <w:br/>
      <w:r>
        <w:rPr/>
        <w:t xml:space="preserve">- PNM Estuaires Picards et de la mer d’Opale</w:t>
      </w:r>
    </w:p>
    <w:p>
      <w:pPr/>
      <w:r>
        <w:rPr>
          <w:color w:val="B79247"/>
          <w:sz w:val="22"/>
          <w:szCs w:val="22"/>
          <w:b w:val="1"/>
          <w:bCs w:val="1"/>
        </w:rPr>
        <w:t xml:space="preserve">Thème(s)</w:t>
      </w:r>
    </w:p>
    <w:p>
      <w:pPr/>
      <w:r>
        <w:rPr/>
        <w:t xml:space="preserve">Qualité de l'eau</w:t>
      </w:r>
    </w:p>
    <w:p>
      <w:pPr/>
      <w:r>
        <w:rPr>
          <w:color w:val="B79247"/>
          <w:sz w:val="22"/>
          <w:szCs w:val="22"/>
          <w:b w:val="1"/>
          <w:bCs w:val="1"/>
        </w:rPr>
        <w:t xml:space="preserve">Réglementation</w:t>
      </w:r>
    </w:p>
    <w:p>
      <w:pPr/>
      <w:r>
        <w:rPr/>
        <w:t xml:space="preserve">DCE [Directive-cadre sur l'eau]</w:t>
      </w:r>
    </w:p>
    <w:p>
      <w:pPr/>
      <w:r>
        <w:rPr>
          <w:color w:val="B79247"/>
          <w:sz w:val="22"/>
          <w:szCs w:val="22"/>
          <w:b w:val="1"/>
          <w:bCs w:val="1"/>
        </w:rPr>
        <w:t xml:space="preserve">Ecorégion</w:t>
      </w:r>
    </w:p>
    <w:p>
      <w:pPr/>
      <w:r>
        <w:rPr/>
        <w:t xml:space="preserve">Océan mondial</w:t>
      </w:r>
    </w:p>
    <w:p>
      <w:pPr/>
      <w:r>
        <w:rPr>
          <w:color w:val="B79247"/>
          <w:sz w:val="22"/>
          <w:szCs w:val="22"/>
          <w:b w:val="1"/>
          <w:bCs w:val="1"/>
        </w:rPr>
        <w:t xml:space="preserve">DPSIR</w:t>
      </w:r>
    </w:p>
    <w:p>
      <w:pPr/>
      <w:r>
        <w:rPr/>
        <w:t xml:space="preserve">Etat</w:t>
      </w:r>
      <w:br/>
      <w:r>
        <w:rPr/>
        <w:t xml:space="preserve">Impacts</w:t>
      </w:r>
    </w:p>
    <w:p>
      <w:pPr/>
      <w:r>
        <w:rPr>
          <w:color w:val="B79247"/>
          <w:sz w:val="22"/>
          <w:szCs w:val="22"/>
          <w:b w:val="1"/>
          <w:bCs w:val="1"/>
        </w:rPr>
        <w:t xml:space="preserve">Référence principale</w:t>
      </w:r>
    </w:p>
    <w:p>
      <w:pPr/>
      <w:r>
        <w:rPr/>
        <w:t xml:space="preserve">Pastor J., Courp T., Hebert B., Fort S., Grigoletto F., Crec'hriou R., Caro A., Neveu R., Barthe P., Vinesa R., Lenfant P., 2013, Suivi des herbiers de posidonies au sein du site Natura 2000 marin FR 910 1482 « Posidonies de la côte des Albères » saison 2012, CEFREM (UPVD-CNRS) - PNMGL, 82p.</w:t>
      </w:r>
    </w:p>
    <w:p>
      <w:pPr/>
      <w:r>
        <w:rPr>
          <w:color w:val="0087a5"/>
          <w:sz w:val="26"/>
          <w:szCs w:val="26"/>
          <w:b w:val="1"/>
          <w:bCs w:val="1"/>
          <w:caps w:val="0"/>
        </w:rPr>
        <w:t xml:space="preserve">Indicateurs corrélés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PRODUCTION</w:t>
      </w:r>
    </w:p>
    <w:p/>
    <w:p>
      <w:pPr/>
      <w:r>
        <w:rPr>
          <w:color w:val="0087a5"/>
          <w:sz w:val="26"/>
          <w:szCs w:val="26"/>
          <w:b w:val="1"/>
          <w:bCs w:val="1"/>
          <w:caps w:val="0"/>
        </w:rPr>
        <w:t xml:space="preserve">Données brutes</w:t>
      </w:r>
    </w:p>
    <w:p>
      <w:pPr/>
      <w:r>
        <w:rPr>
          <w:color w:val="0087a5"/>
          <w:sz w:val="26"/>
          <w:szCs w:val="26"/>
          <w:b w:val="1"/>
          <w:bCs w:val="1"/>
          <w:caps w:val="0"/>
        </w:rPr>
        <w:t xml:space="preserve">Métriques</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INDICATEUR</w:t>
      </w:r>
    </w:p>
    <w:p/>
    <w:p>
      <w:pPr/>
      <w:r>
        <w:rPr>
          <w:color w:val="B79247"/>
          <w:sz w:val="22"/>
          <w:szCs w:val="22"/>
          <w:b w:val="1"/>
          <w:bCs w:val="1"/>
        </w:rPr>
        <w:t xml:space="preserve">Stratégie spatiale</w:t>
      </w:r>
    </w:p>
    <w:p>
      <w:pPr/>
      <w:r>
        <w:rPr>
          <w:color w:val="B79247"/>
          <w:sz w:val="22"/>
          <w:szCs w:val="22"/>
          <w:b w:val="1"/>
          <w:bCs w:val="1"/>
        </w:rPr>
        <w:t xml:space="preserve">Stratégie temporelle</w:t>
      </w:r>
    </w:p>
    <w:p>
      <w:pPr/>
      <w:r>
        <w:rPr>
          <w:color w:val="B79247"/>
          <w:sz w:val="22"/>
          <w:szCs w:val="22"/>
          <w:b w:val="1"/>
          <w:bCs w:val="1"/>
        </w:rPr>
        <w:t xml:space="preserve">Moyens humains et matériels</w:t>
      </w:r>
    </w:p>
    <w:p>
      <w:pPr/>
      <w:r>
        <w:rPr>
          <w:color w:val="B79247"/>
          <w:sz w:val="22"/>
          <w:szCs w:val="22"/>
          <w:b w:val="1"/>
          <w:bCs w:val="1"/>
        </w:rPr>
        <w:t xml:space="preserve">Méthode de calcul</w:t>
      </w:r>
    </w:p>
    <w:p>
      <w:pPr/>
      <w:r>
        <w:rPr/>
        <w:t xml:space="preserve">moyenne des 3 années de suivi les plus récentes pour le calcul de l’état (ex. de 2014 à 2016)</w:t>
      </w:r>
    </w:p>
    <w:p>
      <w:pPr/>
      <w:r>
        <w:rPr>
          <w:color w:val="B79247"/>
          <w:sz w:val="22"/>
          <w:szCs w:val="22"/>
          <w:b w:val="1"/>
          <w:bCs w:val="1"/>
        </w:rPr>
        <w:t xml:space="preserve">Lecture</w:t>
      </w:r>
    </w:p>
    <w:p>
      <w:pPr/>
      <w:r>
        <w:rPr>
          <w:color w:val="B79247"/>
          <w:sz w:val="22"/>
          <w:szCs w:val="22"/>
          <w:b w:val="1"/>
          <w:bCs w:val="1"/>
        </w:rPr>
        <w:t xml:space="preserve">Grille de lecture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DISCUSSION</w:t>
      </w:r>
    </w:p>
    <w:p/>
    <w:p>
      <w:pPr/>
      <w:r>
        <w:rPr>
          <w:color w:val="0087a5"/>
          <w:sz w:val="26"/>
          <w:szCs w:val="26"/>
          <w:b w:val="1"/>
          <w:bCs w:val="1"/>
          <w:caps w:val="0"/>
        </w:rPr>
        <w:t xml:space="preserve">Causes d‘évolution temporelles</w:t>
      </w:r>
    </w:p>
    <w:p>
      <w:pPr/>
      <w:r>
        <w:rPr/>
        <w:t xml:space="preserve">- PG PNMM. Etude de définition des réseaux de surveillance de la qualité écologique des masses d'eau de Mayotte (ARDA 2010)</w:t>
      </w:r>
      <w:br/>
      <w:r>
        <w:rPr/>
        <w:t xml:space="preserve">- Définition du réseau de surveillance DCE des eaux superficielles de Mayotte Suivi (2009/2010)</w:t>
      </w:r>
      <w:br/>
      <w:r>
        <w:rPr/>
        <w:t xml:space="preserve">non suivi au PNMM : il faut récupérer les données des campagnes DCE et les compiler</w:t>
      </w:r>
      <w:br/>
      <w:br/>
      <w:r>
        <w:rPr/>
        <w:t xml:space="preserve">possible de récupérer directement les résultats DCE mis en ligne sur http://envlit.ifremer.fr/var/envlit/storage/documents/atlas_DCE/scripts/site/carte.php?map=LB  ?</w:t>
      </w:r>
      <w:br/>
      <w:br/>
      <w:r>
        <w:rPr/>
        <w:t xml:space="preserve">fiche protocole PNMI + PG PNMM </w:t>
      </w:r>
      <w:br/>
      <w:r>
        <w:rPr/>
        <w:t xml:space="preserve">atlas interactif des résultats DCE</w:t>
      </w:r>
      <w:br/>
      <w:br/>
      <w:r>
        <w:rPr/>
        <w:t xml:space="preserve">suivi au PNMI / non suivi au PNMM : pb de faisabilité avec échantilloneurs passifs. Contrainte majeure = bruit de fond géochimique à définir, état initial des substances à réaliser, problématique inhérente au contexte insulaire de Mayotte (un GT ecophyto est monté avec les douanes pour récupérer des information sur les produits qui rentrent à Mayotte)</w:t>
      </w:r>
      <w:br/>
      <w:br/>
      <w:r>
        <w:rPr/>
        <w:t xml:space="preserve">Nécessité d'extension des points de suivi hors ME DCE pour les eaux du large (PG PNM GDL, DCSMM)</w:t>
      </w:r>
      <w:br/>
      <w:r>
        <w:rPr/>
        <w:t xml:space="preserve">Rajouter un indice substances ecotoxicologiques</w:t>
      </w:r>
      <w:br/>
      <w:br/>
      <w:r>
        <w:rPr/>
        <w:t xml:space="preserve">Résultat directement récupérer sur le site de la DCE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Points forts / points faibles</w:t>
      </w:r>
    </w:p>
    <w:p/>
    <w:p>
      <w:pPr/>
      <w:r>
        <w:rPr>
          <w:color w:val="0087a5"/>
          <w:sz w:val="26"/>
          <w:szCs w:val="26"/>
          <w:b w:val="1"/>
          <w:bCs w:val="1"/>
          <w:caps w:val="0"/>
        </w:rPr>
        <w:t xml:space="preserve">Applicable à différents contextes</w:t>
      </w:r>
    </w:p>
    <w:p>
      <w:pPr/>
      <w:r>
        <w:rPr/>
        <w:t xml:space="preserve">Non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Applicabilité</w:t>
      </w:r>
    </w:p>
    <w:p/>
    <w:p>
      <w:pPr/>
      <w:r>
        <w:rPr>
          <w:color w:val="B79247"/>
          <w:sz w:val="22"/>
          <w:szCs w:val="22"/>
          <w:b w:val="1"/>
          <w:bCs w:val="1"/>
        </w:rPr>
        <w:t xml:space="preserve">Bases conceptuelles solides</w:t>
      </w:r>
    </w:p>
    <w:p>
      <w:pPr/>
      <w:r>
        <w:rPr/>
        <w:t xml:space="preserve">Basé sur des publications, rapports  scientifiques, réglementation</w:t>
      </w:r>
    </w:p>
    <w:p>
      <w:pPr/>
      <w:r>
        <w:rPr>
          <w:color w:val="B79247"/>
          <w:sz w:val="22"/>
          <w:szCs w:val="22"/>
          <w:b w:val="1"/>
          <w:bCs w:val="1"/>
        </w:rPr>
        <w:t xml:space="preserve">Réactivité</w:t>
      </w:r>
    </w:p>
    <w:p>
      <w:pPr/>
      <w:r>
        <w:rPr/>
        <w:t xml:space="preserve">Peu sensible ou sensible à  moyen/long terme</w:t>
      </w:r>
    </w:p>
    <w:p>
      <w:pPr/>
      <w:r>
        <w:rPr>
          <w:color w:val="B79247"/>
          <w:sz w:val="22"/>
          <w:szCs w:val="22"/>
          <w:b w:val="1"/>
          <w:bCs w:val="1"/>
        </w:rPr>
        <w:t xml:space="preserve">Nécessité d'études pour définir des seuils</w:t>
      </w:r>
    </w:p>
    <w:p>
      <w:pPr/>
      <w:r>
        <w:rPr/>
        <w:t xml:space="preserve">Grille de lecture calibrée [seuils ou tendances]</w:t>
      </w:r>
    </w:p>
    <w:p>
      <w:pPr/>
      <w:r>
        <w:rPr>
          <w:color w:val="B79247"/>
          <w:sz w:val="22"/>
          <w:szCs w:val="22"/>
          <w:b w:val="1"/>
          <w:bCs w:val="1"/>
        </w:rPr>
        <w:t xml:space="preserve">Disponibilités des données</w:t>
      </w:r>
    </w:p>
    <w:p>
      <w:pPr/>
      <w:r>
        <w:rPr/>
        <w:t xml:space="preserve">Données disponibles dans le cadre d’un suivi pérenne à une échelle spatio-temporelle adaptée</w:t>
      </w:r>
    </w:p>
    <w:p>
      <w:pPr/>
      <w:r>
        <w:rPr>
          <w:color w:val="B79247"/>
          <w:sz w:val="22"/>
          <w:szCs w:val="22"/>
          <w:b w:val="1"/>
          <w:bCs w:val="1"/>
        </w:rPr>
        <w:t xml:space="preserve">Principaux avantages</w:t>
      </w:r>
    </w:p>
    <w:p>
      <w:pPr/>
      <w:r>
        <w:rPr>
          <w:color w:val="B79247"/>
          <w:sz w:val="22"/>
          <w:szCs w:val="22"/>
          <w:b w:val="1"/>
          <w:bCs w:val="1"/>
        </w:rPr>
        <w:t xml:space="preserve">Principales limites</w:t>
      </w:r>
    </w:p>
    <w:p>
      <w:pPr/>
      <w:r>
        <w:rPr>
          <w:color w:val="B79247"/>
          <w:sz w:val="22"/>
          <w:szCs w:val="22"/>
          <w:b w:val="1"/>
          <w:bCs w:val="1"/>
        </w:rPr>
        <w:t xml:space="preserve">Pistes d'amélioration</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BIBLIOGRAPHIE</w:t>
      </w:r>
    </w:p>
    <w:p/>
    <w:p>
      <w:pPr/>
      <w:r>
        <w:rPr>
          <w:color w:val="B79247"/>
          <w:sz w:val="22"/>
          <w:szCs w:val="22"/>
          <w:b w:val="1"/>
          <w:bCs w:val="1"/>
        </w:rPr>
        <w:t xml:space="preserve">Bibliographie</w:t>
      </w:r>
    </w:p>
    <w:p>
      <w:pPr>
        <w:sectPr>
          <w:type w:val="continuous"/>
          <w:pgSz w:orient="portrait" w:w="11905.511811023622" w:h="16837.79527559055"/>
          <w:pgMar w:top="1440" w:right="1440" w:bottom="1440" w:left="1440" w:header="720" w:footer="720" w:gutter="0"/>
          <w:cols w:num="1" w:space="720"/>
        </w:sectPr>
      </w:pPr>
    </w:p>
    <w:p/>
    <w:p>
      <w:pPr/>
      <w:r>
        <w:rPr>
          <w:color w:val="0087a5"/>
          <w:sz w:val="32"/>
          <w:szCs w:val="32"/>
          <w:b w:val="1"/>
          <w:bCs w:val="1"/>
          <w:smallCaps w:val="0"/>
          <w:caps w:val="1"/>
        </w:rPr>
        <w:t xml:space="preserve">CREDITS</w:t>
      </w:r>
    </w:p>
    <w:p/>
    <w:p>
      <w:pPr/>
      <w:r>
        <w:rPr>
          <w:color w:val="B79247"/>
          <w:sz w:val="22"/>
          <w:szCs w:val="22"/>
          <w:b w:val="1"/>
          <w:bCs w:val="1"/>
        </w:rPr>
        <w:t xml:space="preserve">Auteur</w:t>
      </w:r>
    </w:p>
    <w:p>
      <w:pPr/>
      <w:r>
        <w:rPr/>
        <w:t xml:space="preserve">Reda NEVEU : reda.neveu@aires-marines.fr</w:t>
      </w:r>
    </w:p>
    <w:p>
      <w:pPr/>
      <w:r>
        <w:rPr>
          <w:color w:val="B79247"/>
          <w:sz w:val="22"/>
          <w:szCs w:val="22"/>
          <w:b w:val="1"/>
          <w:bCs w:val="1"/>
        </w:rPr>
        <w:t xml:space="preserve">Contributeur(s)</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fr-FR"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fr-FR"/>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2026-07-07T02:29:57+02:00</dcterms:created>
  <dcterms:modified xsi:type="dcterms:W3CDTF">2026-07-07T02:29:57+02:00</dcterms:modified>
</cp:coreProperties>
</file>

<file path=docProps/custom.xml><?xml version="1.0" encoding="utf-8"?>
<Properties xmlns="http://schemas.openxmlformats.org/officeDocument/2006/custom-properties" xmlns:vt="http://schemas.openxmlformats.org/officeDocument/2006/docPropsVTypes"/>
</file>