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Etat chimique des masses d'eau côtières (DCE)</w:t>
      </w:r>
    </w:p>
    <w:p>
      <w:pPr/>
      <w:r>
        <w:rPr/>
        <w:t xml:space="preserve">Version du 03/02/2020 à 10:34:03</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L’état chimique d’une masse d’eau littorale est déterminé à partir d’une liste de polluants (DCE 2000/60/CE). Les valeurs seuils des éléments chimiques sont établies par rapport à leurs effets toxiques sur l’environnement et la santé, il s’agit de Normes de Qualité Environnementales (NQE) (2008/105/CE). La dernière Directive NQE 2013/39/CE établit de nouveaux seuils qui seront utilisés lors du prochain état des lieux (2019).</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 RNN Cerbère-Banyuls : </w:t>
      </w:r>
      <w:br/>
      <w:r>
        <w:rPr/>
        <w:t xml:space="preserve">- PNM Iroise : </w:t>
      </w:r>
      <w:br/>
      <w:br/>
      <w:r>
        <w:rPr/>
        <w:t xml:space="preserve">- PNM Mayotte </w:t>
      </w:r>
      <w:br/>
      <w:r>
        <w:rPr/>
        <w:t xml:space="preserve">- PNM Golfe du Lion </w:t>
      </w:r>
      <w:br/>
      <w:r>
        <w:rPr/>
        <w:t xml:space="preserve">- PNM Estuaires Picards et de la mer d’Opale</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br/>
      <w:r>
        <w:rPr/>
        <w:t xml:space="preserve">Impacts</w:t>
      </w:r>
    </w:p>
    <w:p>
      <w:pPr/>
      <w:r>
        <w:rPr>
          <w:color w:val="B79247"/>
          <w:sz w:val="22"/>
          <w:szCs w:val="22"/>
          <w:b w:val="1"/>
          <w:bCs w:val="1"/>
        </w:rPr>
        <w:t xml:space="preserve">Référence principale</w:t>
      </w:r>
    </w:p>
    <w:p>
      <w:pPr/>
      <w:r>
        <w:rPr/>
        <w:t xml:space="preserve">Pastor J., Courp T., Hebert B., Fort S., Grigoletto F., Crec'hriou R., Caro A., Neveu R., Barthe P., Vinesa R., Lenfant P., 2013, Suivi des herbiers de posidonies au sein du site Natura 2000 marin FR 910 1482 « Posidonies de la côte des Albères » saison 2012, CEFREM (UPVD-CNRS) - PNMGL, 82p.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t xml:space="preserve">moyenne des 3 années de suivi les plus récentes pour le calcul de l’état (ex. de 2014 à 2016)</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PG PNMM. Etude de définition des réseaux de surveillance de la qualité écologique des masses d'eau de Mayotte (ARDA 2010)</w:t>
      </w:r>
      <w:br/>
      <w:r>
        <w:rPr/>
        <w:t xml:space="preserve">- Définition du réseau de surveillance DCE des eaux superficielles de Mayotte Suivi (2009/2010)</w:t>
      </w:r>
      <w:br/>
      <w:r>
        <w:rPr/>
        <w:t xml:space="preserve">non suivi au PNMM : il faut récupérer les données des campagnes DCE et les compiler</w:t>
      </w:r>
      <w:br/>
      <w:br/>
      <w:r>
        <w:rPr/>
        <w:t xml:space="preserve">possible de récupérer directement les résultats DCE mis en ligne sur http://envlit.ifremer.fr/var/envlit/storage/documents/atlas_DCE/scripts/site/carte.php?map=LB  ?</w:t>
      </w:r>
      <w:br/>
      <w:br/>
      <w:r>
        <w:rPr/>
        <w:t xml:space="preserve">fiche protocole PNMI + PG PNMM </w:t>
      </w:r>
      <w:br/>
      <w:r>
        <w:rPr/>
        <w:t xml:space="preserve">atlas interactif des résultats DCE</w:t>
      </w:r>
      <w:br/>
      <w:br/>
      <w:r>
        <w:rPr/>
        <w:t xml:space="preserve">suivi au PNMI / non suivi au PNMM : pb de faisabilité avec échantilloneurs passifs. Contrainte majeure = bruit de fond géochimique à définir, état initial des substances à réaliser, problématique inhérente au contexte insulaire de Mayotte (un GT ecophyto est monté avec les douanes pour récupérer des information sur les produits qui rentrent à Mayotte)</w:t>
      </w:r>
      <w:br/>
      <w:br/>
      <w:r>
        <w:rPr/>
        <w:t xml:space="preserve">Nécessité d'extension des points de suivi hors ME DCE pour les eaux du large (PG PNM GDL, DCSMM)</w:t>
      </w:r>
      <w:br/>
      <w:r>
        <w:rPr/>
        <w:t xml:space="preserve">Rajouter un indice substances ecotoxicologiques</w:t>
      </w:r>
      <w:br/>
      <w:br/>
      <w:r>
        <w:rPr/>
        <w:t xml:space="preserve">Résultat directement récupérer sur le site de la DCE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2026-10-06T03:14:03+02:00</dcterms:created>
  <dcterms:modified xsi:type="dcterms:W3CDTF">2026-10-06T03:14:03+02:00</dcterms:modified>
</cp:coreProperties>
</file>

<file path=docProps/custom.xml><?xml version="1.0" encoding="utf-8"?>
<Properties xmlns="http://schemas.openxmlformats.org/officeDocument/2006/custom-properties" xmlns:vt="http://schemas.openxmlformats.org/officeDocument/2006/docPropsVTypes"/>
</file>