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000000"/>
          <w:sz w:val="40"/>
          <w:szCs w:val="40"/>
          <w:b w:val="1"/>
          <w:bCs w:val="1"/>
          <w:smallCaps w:val="0"/>
          <w:caps w:val="1"/>
        </w:rPr>
        <w:t xml:space="preserve">Concentration des contaminants dans le milieu marin - sédiment</w:t>
      </w:r>
    </w:p>
    <w:p>
      <w:pPr/>
      <w:r>
        <w:rPr/>
        <w:t xml:space="preserve">Version du 03/06/2020 à 05:25:03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DÉFINITIONS ET PRINCIPALES CARACTÉRISTIQUES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Définitions et objectifs</w:t>
      </w:r>
    </w:p>
    <w:p>
      <w:pPr/>
      <w:r>
        <w:rPr/>
        <w:t xml:space="preserve">L'état chimique des eaux marines est évalué dans 3 compartiments : sédiment, mollusques bivalves et poissons. Les concentrations en contaminants dans les sédiments sont évalués pour quatre groupes de substances : les métaux, les hydrocarbures aromatiques polycycliques (HAP), les polychlorobiphényles (PCB) et les pesticides.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Objet évalué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Finalité(s)</w:t>
      </w:r>
    </w:p>
    <w:p>
      <w:pPr/>
      <w:r>
        <w:rPr/>
        <w:t xml:space="preserve">F4. Le bon état des eaux marines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Déclinaison locale des finalités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Thème(s)</w:t>
      </w:r>
    </w:p>
    <w:p>
      <w:pPr/>
      <w:r>
        <w:rPr/>
        <w:t xml:space="preserve">Qualité de l'eau</w:t>
      </w:r>
      <w:br/>
      <w:r>
        <w:rPr/>
        <w:t xml:space="preserve">Qualité de l'eau &gt; Etat chimique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Réglementation</w:t>
      </w:r>
    </w:p>
    <w:p>
      <w:pPr/>
      <w:r>
        <w:rPr/>
        <w:t xml:space="preserve">DCSMM [Directive-cadre Stratégie pour le milieu marin]</w:t>
      </w:r>
      <w:br/>
      <w:r>
        <w:rPr/>
        <w:t xml:space="preserve">OSPAR [Convention pour la protection du milieu marin de l'Atlantique du Nord-Est]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Ecorégion</w:t>
      </w:r>
    </w:p>
    <w:p>
      <w:pPr/>
      <w:r>
        <w:rPr/>
        <w:t xml:space="preserve">Ecosystèmes tempérés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DPSIR</w:t>
      </w:r>
    </w:p>
    <w:p>
      <w:pPr/>
      <w:r>
        <w:rPr/>
        <w:t xml:space="preserve">Pressions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Référence principale</w:t>
      </w:r>
    </w:p>
    <w:p>
      <w:pPr/>
      <w:r>
        <w:rPr/>
        <w:t xml:space="preserve">Mauffret A., Chiffoleau JF., Burgeot T., Wessel N., Brun M., 2017, Evaluation du descripteur 8 "Contaminants dans le milieu" en France métropolitaine. Rapport scientifique pour l'évaluation au titre de la DCSMM, 164p.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Indicateurs corrélés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PRODUCTION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Données brutes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Métriques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INDICATEUR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Stratégie spatiale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Stratégie temporelle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Moyens humains et matériels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Méthode de calcul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Lecture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Grille de lecture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DISCUSSION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Causes d‘évolution temporelles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Points forts / points faibles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Applicable à différents contextes</w:t>
      </w:r>
    </w:p>
    <w:p>
      <w:pPr/>
      <w:r>
        <w:rPr/>
        <w:t xml:space="preserve">Non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Applicabilité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Bases conceptuelles solides</w:t>
      </w:r>
    </w:p>
    <w:p>
      <w:pPr/>
      <w:r>
        <w:rPr/>
        <w:t xml:space="preserve">Basé sur des publications, rapports  scientifiques, réglementation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Nécessité d'études pour définir des seuils</w:t>
      </w:r>
    </w:p>
    <w:p>
      <w:pPr/>
      <w:r>
        <w:rPr/>
        <w:t xml:space="preserve">Grille de lecture calibrée [seuils ou tendances]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Disponibilités des données</w:t>
      </w:r>
    </w:p>
    <w:p>
      <w:pPr/>
      <w:r>
        <w:rPr/>
        <w:t xml:space="preserve">Données disponibles dans le cadre d’un suivi pérenne à une échelle spatio-temporelle adaptée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Principaux avantages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Principales limites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Pistes d'amélioration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BIBLIOGRAPHIE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Bibliographie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CREDITS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Auteur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Contributeur(s)</w:t>
      </w:r>
    </w:p>
    <w:sectPr>
      <w:type w:val="continuous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fr-FR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fr-FR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2026-07-07T02:29:47+02:00</dcterms:created>
  <dcterms:modified xsi:type="dcterms:W3CDTF">2026-07-07T02:29:47+02:00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