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Evolution de la connaissance de la réglementation des mailles par les pêcheurs à pied</w:t>
      </w:r>
    </w:p>
    <w:p>
      <w:pPr/>
      <w:r>
        <w:rPr/>
        <w:t xml:space="preserve">Version du 11/06/2024 à 07:38:11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600pt; margin-left:0pt; margin-top:0pt; mso-position-horizontal:left; mso-position-vertical:top; mso-position-horizontal-relative:char; mso-position-vertical-relative:line;">
            <w10:wrap type="inline"/>
            <v:imagedata r:id="rId7" o:title=""/>
          </v:shape>
        </w:pict>
      </w:r>
    </w:p>
    <w:p>
      <w:pPr/>
      <w:r>
        <w:rPr>
          <w:color w:val="0087a5"/>
          <w:sz w:val="26"/>
          <w:szCs w:val="26"/>
          <w:b w:val="1"/>
          <w:bCs w:val="1"/>
          <w:caps w:val="0"/>
        </w:rPr>
        <w:t xml:space="preserve">Définitions et objectifs</w:t>
      </w:r>
    </w:p>
    <w:p>
      <w:pPr/>
      <w:r>
        <w:rPr/>
        <w:t xml:space="preserve">Les enquêtes de pêcheurs menées sur les estrans sont d’une grande importance. Elles permettent de dresser le profil de la population de pêcheurs fréquentant un site, de connaitre leurs pratiques de pêche et d’estimer les prélèvements opérés. Elles permettent également de mieux cibler les actions de sensibilisation selon les pratiques et profils des pêcheurs de chaque site. Selon les objectifs de la structure à l’origine de l’enquête, elles peuvent également permettre d’avoir des informations sur la perception des pêcheurs concernant divers sujets (par exemple : connaissance des AMP, perception de l’évolution de l’activité de pêche ou des captures, etc.).</w:t>
      </w:r>
    </w:p>
    <w:p>
      <w:pPr/>
      <w:r>
        <w:rPr/>
        <w:t xml:space="preserve"> </w:t>
      </w:r>
    </w:p>
    <w:p>
      <w:pPr/>
      <w:r>
        <w:rPr/>
        <w:t xml:space="preserve">Ces enquêtes sont utilisées ici pour étudier la connaissance des pêcheurs concernant les mailles réglementaires pour les espèces exploitées. L’évolution de ce taux de connaissance des mailles permet d’avoir une information sur les retombées des actions de sensibilisation et potentiellement de la possible modification du comportement des pêcheurs vis-à-vis de leur activité de prélèvement.</w:t>
      </w:r>
    </w:p>
    <w:p>
      <w:pPr/>
      <w:r>
        <w:rPr>
          <w:color w:val="B79247"/>
          <w:sz w:val="22"/>
          <w:szCs w:val="22"/>
          <w:b w:val="1"/>
          <w:bCs w:val="1"/>
        </w:rPr>
        <w:t xml:space="preserve">Objet évalué</w:t>
      </w:r>
    </w:p>
    <w:p>
      <w:pPr/>
      <w:r>
        <w:rPr/>
        <w:t xml:space="preserve">L’indicateur permet d’évaluer l’évolution de la connaissance des pêcheurs à pied en termes de réglementation des mailles des espèces pêchées</w:t>
      </w:r>
    </w:p>
    <w:p>
      <w:pPr/>
      <w:r>
        <w:rPr>
          <w:color w:val="B79247"/>
          <w:sz w:val="22"/>
          <w:szCs w:val="22"/>
          <w:b w:val="1"/>
          <w:bCs w:val="1"/>
        </w:rPr>
        <w:t xml:space="preserve">Finalité(s)</w:t>
      </w:r>
    </w:p>
    <w:p>
      <w:pP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F6. Le développement durable des usages</w:t>
      </w:r>
      <w:br/>
      <w:r>
        <w:rPr/>
        <w:t xml:space="preserve">F8. La valeur[s] ajoutée[s] [sociale, économique, scientifique, éducative]</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Usages &gt; Aspect écologique</w:t>
      </w:r>
      <w:br/>
      <w:r>
        <w:rPr/>
        <w:t xml:space="preserve">Usages &gt; Pêche et aquaculture</w:t>
      </w:r>
      <w:br/>
      <w:r>
        <w:rPr/>
        <w:t xml:space="preserve">Education / Sensibilisation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Réponses</w:t>
      </w:r>
    </w:p>
    <w:p>
      <w:pPr/>
      <w:r>
        <w:rPr>
          <w:color w:val="B79247"/>
          <w:sz w:val="22"/>
          <w:szCs w:val="22"/>
          <w:b w:val="1"/>
          <w:bCs w:val="1"/>
        </w:rPr>
        <w:t xml:space="preserve">Référence principale</w:t>
      </w:r>
    </w:p>
    <w:p>
      <w:pPr/>
      <w:r>
        <w:rPr/>
        <w:t xml:space="preserve">Life pêche à pied de loisir, 2017, Etude et diagnostic de l’activité de pêche à pied de loisir. Cahier méthodologique et recueil d’expériences, (n°2), 298p.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Respect de la maille des espèces exploitées par les pêcheurs à pied</w:t>
      </w:r>
    </w:p>
    <w:p>
      <w:pPr/>
      <w:r>
        <w:rPr>
          <w:b w:val="1"/>
          <w:bCs w:val="1"/>
        </w:rPr>
        <w:t xml:space="preserve">Source des données</w:t>
      </w:r>
    </w:p>
    <w:p>
      <w:pPr/>
      <w:r>
        <w:rPr/>
        <w:t xml:space="preserve">Données des partenaires du réseau Littorea (pêche à pied de loisir)</w:t>
      </w:r>
    </w:p>
    <w:p>
      <w:pPr/>
      <w:r>
        <w:rPr>
          <w:b w:val="1"/>
          <w:bCs w:val="1"/>
        </w:rPr>
        <w:t xml:space="preserve">Stratégie spatiale</w:t>
      </w:r>
    </w:p>
    <w:p>
      <w:pPr/>
      <w:r>
        <w:rPr/>
        <w:t xml:space="preserve">Deux possibilités : interroger les personnes sur l’estran pendant leur pêche, ou en sortie de site en fin d’activité. Cette seconde possibilité est intéressante quand le site ne dispose que d’un seul accès et qu’il n est ainsi assuré de ne pas opérer une présélection involontaire parmi les pêcheurs. Le principal avantage des enquêtes réalisées en sortie de site est d’obtenir une analyse des prélèvements en fin de pêche, alors que celles réalisées sur l’estran ne permettent d’obtenir qu’une estimation par extrapolation.</w:t>
      </w:r>
      <w:br/>
      <w:br/>
      <w:r>
        <w:rPr/>
        <w:t xml:space="preserve">Les pêcheurs sont, par contre, généralement moins disponibles en fin de pêche : fatigués, pressés de se restaurer ou de rentrer chez eux ou désireux de s’assurer de la conservation de leur pêche. Le taux de refus des enquêtes est toujours plus fort en sortie de site et l’agacement face à la longueur du questionnaire est plus fréquent. Nous conseillerons donc d’effectuer en priorité les enquêtes directement sur l’estran, à l’exception de celles portant uniquement sur les récoltes. </w:t>
      </w:r>
      <w:br/>
    </w:p>
    <w:p>
      <w:pPr/>
      <w:r>
        <w:rPr>
          <w:b w:val="1"/>
          <w:bCs w:val="1"/>
        </w:rPr>
        <w:t xml:space="preserve">Stratégie temporelle</w:t>
      </w:r>
    </w:p>
    <w:p>
      <w:pPr/>
      <w:r>
        <w:rPr/>
        <w:t xml:space="preserve">Le choix du jour à enquêter se fait selon différents critères de variation de la fréquentation. Une étude de fréquentation préalable à la réalisation des enquêtes permettra d’affiner le plan d’échantillonnage : saisonnalité, disponibilité des pêcheurs (week-end, vacances, jours fériés), coefficients et horaires de marées sont autant de facteurs pouvant influencer la pratique de la pêche à pied.</w:t>
      </w:r>
      <w:br/>
      <w:br/>
      <w:r>
        <w:rPr/>
        <w:t xml:space="preserve">Toutefois, il est important d’enquêter les pêcheurs sur l’ensemble des stratifications temporelles définies grâce à cette étude préalable. En effet, les espèces ciblées peuvent ne pas être les mêmes selon les niveaux de coefficient des marées ; de même, les profils des pêcheurs peuvent être différents selon les stratifications (exemple : certains pêcheurs pourraient préférer la tranquillité des sites de pêche à faible fréquentation ou la distinction entre les pêcheurs résidents et les pêcheurs touristes).</w:t>
      </w:r>
      <w:br/>
      <w:br/>
      <w:r>
        <w:rPr/>
        <w:t xml:space="preserve">La plage horaire idéale pour enquêter les pêcheurs est assez variable. Elle dépend souvent du site et du public qui le fréquente. </w:t>
      </w:r>
      <w:br/>
      <w:br/>
      <w:r>
        <w:rPr/>
        <w:t xml:space="preserve">Le nombre de sorties pour réalisation d’enquêtes à programmer ainsi que leur répartition dans le temps dépendent de la variabilité des profils de pêcheurs et des types de pêche au cours de la saison. Plus la variabilité est grande, plus le nombre de sorties et le nombre d’enquêtes à réaliser devra être important et se répartir dans le temps afin de couvrir l’ensemble des profils.</w:t>
      </w:r>
      <w:br/>
    </w:p>
    <w:p>
      <w:pPr/>
      <w:r>
        <w:rPr>
          <w:b w:val="1"/>
          <w:bCs w:val="1"/>
        </w:rPr>
        <w:t xml:space="preserve">Moyens humains et matériels</w:t>
      </w:r>
    </w:p>
    <w:p>
      <w:pPr/>
      <w:r>
        <w:rPr/>
        <w:t xml:space="preserve">un ou plusieurs enquêteurs (selon le nombre d’enquêtes souhaité)</w:t>
      </w:r>
      <w:br/>
      <w:r>
        <w:rPr/>
        <w:t xml:space="preserve">Le matériel de terrain nécessaire à chaque enquêteur est le suivant : 1 plaquette de prise de note et/ou une tablette reliée à la base ESTAMP ; plusieurs stylos ou crayons de papier (selon les conditions du site et la météorologie) ; des bottes ou des cuissardes.</w:t>
      </w:r>
      <w:br/>
    </w:p>
    <w:p>
      <w:pPr/>
      <w:r>
        <w:rPr>
          <w:b w:val="1"/>
          <w:bCs w:val="1"/>
        </w:rPr>
        <w:t xml:space="preserve">Protocole de récolte</w:t>
      </w:r>
    </w:p>
    <w:p>
      <w:pPr/>
      <w:r>
        <w:rPr/>
        <w:t xml:space="preserve">	</w:t>
      </w:r>
    </w:p>
    <w:p>
      <w:pPr>
        <w:numPr>
          <w:ilvl w:val="0"/>
          <w:numId w:val="1"/>
        </w:numPr>
      </w:pPr>
      <w:r>
        <w:rPr/>
        <w:t xml:space="preserve">La collecte des données se fait par la réalisation d’une enquête restreinte s’intéressant particulièrement à la connaissance du pêcheur et à son profil. Dans le cas d’un couple ou d’un groupe, le pêcheur enquêté devra être choisi de façon aléatoire. Il est important que ce soit l’enquêteur qui choisisse la personne enquêtée afin d’obtenir une vue réellement objective de la diversité des pêcheurs et de ne pas biaiser les profils par une surreprésentation des personnes les plus désireuses de répondre (représentant souvent un profil particulier de pratiquants).</w:t>
      </w:r>
    </w:p>
    <w:p>
      <w:pPr/>
      <w:r>
        <w:rPr/>
        <w:t xml:space="preserve">L’enquête est réalisée en suivant l’ordre des questions définies dans le questionnaire (cf. questionnaire Littorea sur le site de la BD ESTAMP https://estamp.afbiodiversite.fr/)</w:t>
      </w:r>
    </w:p>
    <w:p>
      <w:pPr/>
      <w:r>
        <w:rPr/>
        <w:t xml:space="preserve">Dans cette enquête, une question est posée au pêcheur concernant la maille de l'espèce pêchée. Le pêcheur doit être capable de dire si l'espèce a une maille ou non et de préciser la maille le cas échéant. L'enquêteur enregistre alors si la réponse du pêcheur est conforme ou non. </w:t>
      </w:r>
    </w:p>
    <w:p>
      <w:pPr/>
      <w:r>
        <w:rPr>
          <w:b w:val="1"/>
          <w:bCs w:val="1"/>
        </w:rPr>
        <w:t xml:space="preserve">Référentiel(s) utilisé(s)</w:t>
      </w:r>
    </w:p>
    <w:p>
      <w:pPr/>
      <w:r>
        <w:rPr/>
        <w:t xml:space="preserve">/</w:t>
      </w:r>
    </w:p>
    <w:p>
      <w:pPr/>
      <w:r>
        <w:rPr>
          <w:b w:val="1"/>
          <w:bCs w:val="1"/>
        </w:rPr>
        <w:t xml:space="preserve">Base(s) de données utilisée(s)</w:t>
      </w:r>
    </w:p>
    <w:p>
      <w:pPr/>
      <w:r>
        <w:rPr/>
        <w:t xml:space="preserve">ESTAMP (AFB) - https://estamp.afbiodiversite.fr/</w:t>
      </w:r>
    </w:p>
    <w:p>
      <w:pPr/>
      <w:r>
        <w:rPr>
          <w:b w:val="1"/>
          <w:bCs w:val="1"/>
        </w:rPr>
        <w:t xml:space="preserve">Précisions</w:t>
      </w:r>
    </w:p>
    <w:p>
      <w:pPr/>
      <w:r>
        <w:rPr/>
        <w:t xml:space="preserve">/</w:t>
      </w:r>
    </w:p>
    <w:p>
      <w:pPr/>
      <w:r>
        <w:rPr>
          <w:color w:val="0087a5"/>
          <w:sz w:val="26"/>
          <w:szCs w:val="26"/>
          <w:b w:val="1"/>
          <w:bCs w:val="1"/>
          <w:caps w:val="0"/>
        </w:rPr>
        <w:t xml:space="preserve">Métriques</w:t>
      </w:r>
    </w:p>
    <w:p>
      <w:pPr/>
      <w:r>
        <w:rPr>
          <w:color w:val="B79247"/>
          <w:sz w:val="22"/>
          <w:szCs w:val="22"/>
          <w:b w:val="1"/>
          <w:bCs w:val="1"/>
        </w:rPr>
        <w:t xml:space="preserve">Taux de connaissance des mailles</w:t>
      </w:r>
    </w:p>
    <w:p>
      <w:pPr/>
      <w:r>
        <w:rPr>
          <w:b w:val="1"/>
          <w:bCs w:val="1"/>
        </w:rPr>
        <w:t xml:space="preserve">Stratégie spatiale</w:t>
      </w:r>
    </w:p>
    <w:p>
      <w:pPr/>
      <w:r>
        <w:rPr/>
        <w:t xml:space="preserve">La métrique se calcule à l’échelle de chaque territoire</w:t>
      </w:r>
    </w:p>
    <w:p>
      <w:pPr/>
      <w:r>
        <w:rPr>
          <w:b w:val="1"/>
          <w:bCs w:val="1"/>
        </w:rPr>
        <w:t xml:space="preserve">Stratégie temporelle</w:t>
      </w:r>
    </w:p>
    <w:p>
      <w:pPr/>
      <w:r>
        <w:rPr/>
        <w:t xml:space="preserve">une fois par an</w:t>
      </w:r>
    </w:p>
    <w:p>
      <w:pPr/>
      <w:r>
        <w:rPr>
          <w:b w:val="1"/>
          <w:bCs w:val="1"/>
        </w:rPr>
        <w:t xml:space="preserve">Moyens humains et matériels</w:t>
      </w:r>
    </w:p>
    <w:p>
      <w:pPr/>
      <w:r>
        <w:rPr/>
        <w:t xml:space="preserve">1 chargé de mission, 0.3 jour</w:t>
      </w:r>
    </w:p>
    <w:p>
      <w:pPr/>
      <w:r>
        <w:rPr>
          <w:b w:val="1"/>
          <w:bCs w:val="1"/>
        </w:rPr>
        <w:t xml:space="preserve">Méthode de calcul</w:t>
      </w:r>
    </w:p>
    <w:p>
      <w:pPr/>
      <w:r>
        <w:rPr/>
        <w:t xml:space="preserve">	</w:t>
      </w:r>
    </w:p>
    <w:p>
      <w:pPr>
        <w:numPr>
          <w:ilvl w:val="0"/>
          <w:numId w:val="2"/>
        </w:numPr>
      </w:pPr>
      <w:r>
        <w:rPr/>
        <w:t xml:space="preserve">sur la base des résultats de l’enquête, calcul du rapport</w:t>
      </w:r>
    </w:p>
    <w:p>
      <w:pPr/>
      <w:r>
        <w:pict>
          <v:shape type="#_x0000_t75" stroked="f" style="width:447pt; height:39pt; margin-left:0pt; margin-top:0pt; mso-position-horizontal:left; mso-position-vertical:top; mso-position-horizontal-relative:char; mso-position-vertical-relative:line;">
            <w10:wrap type="inline"/>
            <v:imagedata r:id="rId8" o:title=""/>
          </v:shape>
        </w:pict>
      </w:r>
      <w:r>
        <w:rPr/>
        <w:t xml:space="preserve"> </w:t>
      </w:r>
    </w:p>
    <w:p>
      <w:pPr/>
      <w:r>
        <w:rPr/>
        <w:t xml:space="preserve">Ce taux de connaissance peut également être calculé par type de profil de pêcheurs si ceux-ci sont déjà connus. En effet, des différences significatives du taux de connaissance peuvent s’observer entre les profils.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se calcule sur l’ensemble du territoire</w:t>
      </w:r>
    </w:p>
    <w:p>
      <w:pPr/>
      <w:r>
        <w:rPr>
          <w:color w:val="B79247"/>
          <w:sz w:val="22"/>
          <w:szCs w:val="22"/>
          <w:b w:val="1"/>
          <w:bCs w:val="1"/>
        </w:rPr>
        <w:t xml:space="preserve">Stratégie temporelle</w:t>
      </w:r>
    </w:p>
    <w:p>
      <w:pPr/>
      <w:r>
        <w:rPr/>
        <w:t xml:space="preserve">une fois par an, sur la base de l’ensemble des suivis réalisés sur l’année</w:t>
      </w:r>
    </w:p>
    <w:p>
      <w:pPr/>
      <w:r>
        <w:rPr>
          <w:color w:val="B79247"/>
          <w:sz w:val="22"/>
          <w:szCs w:val="22"/>
          <w:b w:val="1"/>
          <w:bCs w:val="1"/>
        </w:rPr>
        <w:t xml:space="preserve">Moyens humains et matériels</w:t>
      </w:r>
    </w:p>
    <w:p>
      <w:pPr/>
      <w:r>
        <w:rPr/>
        <w:t xml:space="preserve">1 chargé de mission </w:t>
      </w:r>
    </w:p>
    <w:p>
      <w:pPr/>
      <w:r>
        <w:rPr>
          <w:color w:val="B79247"/>
          <w:sz w:val="22"/>
          <w:szCs w:val="22"/>
          <w:b w:val="1"/>
          <w:bCs w:val="1"/>
        </w:rPr>
        <w:t xml:space="preserve">Méthode de calcul</w:t>
      </w:r>
    </w:p>
    <w:p>
      <w:pPr/>
      <w:r>
        <w:rPr/>
        <w:t xml:space="preserve">L’indicateur « évolution du taux de respect des mailles » se calcule grâce à une régression linéaire permettant d’étudier la tendance de l’évolution au cours du temps.  </w:t>
      </w:r>
    </w:p>
    <w:p>
      <w:pPr/>
      <w:r>
        <w:rPr/>
        <w:t xml:space="preserve">L’interprétation de l’indicateur se fait sur la base de cette tendance. </w:t>
      </w:r>
    </w:p>
    <w:p>
      <w:pPr/>
      <w:r>
        <w:rPr/>
        <w:t xml:space="preserve">Cet indicateur peut également être calculé par type de profil de pêcheurs si ceux-ci sont déjà connus. En effet, des différences significatives du taux de connaissance peuvent s’observer entre les profils.</w:t>
      </w:r>
    </w:p>
    <w:p>
      <w:pPr/>
      <w:r>
        <w:rPr>
          <w:color w:val="B79247"/>
          <w:sz w:val="22"/>
          <w:szCs w:val="22"/>
          <w:b w:val="1"/>
          <w:bCs w:val="1"/>
        </w:rPr>
        <w:t xml:space="preserve">Lecture</w:t>
      </w:r>
    </w:p>
    <w:p>
      <w:pPr/>
      <w:r>
        <w:rPr/>
        <w:t xml:space="preserve">Proposition de grille de lecture basée sur une tendance</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bidiVisual w:val="0"/>
      </w:tblPr>
      <w:tr>
        <w:trPr/>
        <w:tc>
          <w:tcPr/>
          <w:p>
            <w:pPr/>
            <w:r>
              <w:rPr/>
              <w:t xml:space="preserve"> </w:t>
            </w:r>
          </w:p>
        </w:tc>
        <w:tc>
          <w:tcPr/>
          <w:p>
            <w:pPr/>
            <w:r>
              <w:rPr/>
              <w:t xml:space="preserve">Très mauvais</w:t>
            </w:r>
          </w:p>
        </w:tc>
        <w:tc>
          <w:tcPr/>
          <w:p>
            <w:pPr/>
            <w:r>
              <w:rPr/>
              <w:t xml:space="preserve">Mauvais</w:t>
            </w:r>
          </w:p>
        </w:tc>
        <w:tc>
          <w:tcPr/>
          <w:p>
            <w:pPr/>
            <w:r>
              <w:rPr/>
              <w:t xml:space="preserve">Moyen</w:t>
            </w:r>
          </w:p>
        </w:tc>
        <w:tc>
          <w:tcPr/>
          <w:p>
            <w:pPr/>
            <w:r>
              <w:rPr/>
              <w:t xml:space="preserve">Bon</w:t>
            </w:r>
          </w:p>
        </w:tc>
        <w:tc>
          <w:tcPr/>
          <w:p>
            <w:pPr/>
            <w:r>
              <w:rPr/>
              <w:t xml:space="preserve">Très bon</w:t>
            </w:r>
          </w:p>
        </w:tc>
      </w:tr>
      <w:tr>
        <w:trPr/>
        <w:tc>
          <w:tcPr/>
          <w:p>
            <w:pPr/>
            <w:r>
              <w:rPr/>
              <w:t xml:space="preserve">Evolution de la connaissance de la réglementation par les pêcheurs à pied</w:t>
            </w:r>
          </w:p>
        </w:tc>
        <w:tc>
          <w:tcPr/>
          <w:p>
            <w:pPr/>
            <w:r>
              <w:rPr/>
              <w:t xml:space="preserve">/</w:t>
            </w:r>
          </w:p>
        </w:tc>
        <w:tc>
          <w:tcPr/>
          <w:p>
            <w:pPr/>
            <w:r>
              <w:pict>
                <v:shape type="#_x0000_t75" stroked="f" style="width:26px; height:26px; margin-left:0px; margin-top:0px; mso-position-horizontal:left; mso-position-vertical:top; mso-position-horizontal-relative:char; mso-position-vertical-relative:line;">
                  <w10:wrap type="inline"/>
                  <v:imagedata r:id="rId9" o:title=""/>
                </v:shape>
              </w:pict>
            </w:r>
          </w:p>
        </w:tc>
        <w:tc>
          <w:tcPr/>
          <w:p>
            <w:pPr/>
            <w:r>
              <w:pict>
                <v:shape type="#_x0000_t75" stroked="f" style="width:30px; height:30px; margin-left:0px; margin-top:0px; mso-position-horizontal:left; mso-position-vertical:top; mso-position-horizontal-relative:char; mso-position-vertical-relative:line;">
                  <w10:wrap type="inline"/>
                  <v:imagedata r:id="rId10" o:title=""/>
                </v:shape>
              </w:pict>
            </w:r>
          </w:p>
        </w:tc>
        <w:tc>
          <w:tcPr/>
          <w:p>
            <w:pPr/>
            <w:r>
              <w:pict>
                <v:shape type="#_x0000_t75" stroked="f" style="width:29px; height:29px; margin-left:0px; margin-top:0px; mso-position-horizontal:left; mso-position-vertical:top; mso-position-horizontal-relative:char; mso-position-vertical-relative:line;">
                  <w10:wrap type="inline"/>
                  <v:imagedata r:id="rId11" o:title=""/>
                </v:shape>
              </w:pict>
            </w:r>
          </w:p>
        </w:tc>
        <w:tc>
          <w:tcPr/>
          <w:p>
            <w:pPr/>
            <w:r>
              <w:rPr/>
              <w:t xml:space="preserve">/</w:t>
            </w:r>
          </w:p>
        </w:tc>
      </w:tr>
      <w:tr>
        <w:trPr/>
        <w:tc>
          <w:tcPr/>
          <w:p>
            <w:pPr/>
            <w:r>
              <w:rPr/>
              <w:t xml:space="preserve">Score</w:t>
            </w:r>
          </w:p>
        </w:tc>
        <w:tc>
          <w:tcPr/>
          <w:p>
            <w:pPr/>
            <w:r>
              <w:rPr/>
              <w:t xml:space="preserve">1</w:t>
            </w:r>
          </w:p>
        </w:tc>
        <w:tc>
          <w:tcPr/>
          <w:p>
            <w:pPr/>
            <w:r>
              <w:rPr/>
              <w:t xml:space="preserve">2</w:t>
            </w:r>
          </w:p>
        </w:tc>
        <w:tc>
          <w:tcPr/>
          <w:p>
            <w:pPr/>
            <w:r>
              <w:rPr/>
              <w:t xml:space="preserve">3</w:t>
            </w:r>
          </w:p>
        </w:tc>
        <w:tc>
          <w:tcPr/>
          <w:p>
            <w:pPr/>
            <w:r>
              <w:rPr/>
              <w:t xml:space="preserve">4</w:t>
            </w:r>
          </w:p>
        </w:tc>
        <w:tc>
          <w:tcPr/>
          <w:p>
            <w:pPr/>
            <w:r>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Actions de sensibilisation</w:t>
      </w:r>
      <w:br/>
      <w:r>
        <w:rPr/>
        <w:t xml:space="preserve">	Réglementation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 autre contexte &gt; Life pêche à pied de loisir</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w:t>
      </w:r>
    </w:p>
    <w:p>
      <w:pPr>
        <w:numPr>
          <w:ilvl w:val="0"/>
          <w:numId w:val="3"/>
        </w:numPr>
      </w:pPr>
      <w:r>
        <w:rPr/>
        <w:t xml:space="preserve">Méthodologie applicable tous les ans</w:t>
      </w:r>
    </w:p>
    <w:p>
      <w:pPr/>
      <w:r>
        <w:rPr/>
        <w:t xml:space="preserve">	</w:t>
      </w:r>
    </w:p>
    <w:p>
      <w:pPr>
        <w:numPr>
          <w:ilvl w:val="0"/>
          <w:numId w:val="3"/>
        </w:numPr>
      </w:pPr>
      <w:r>
        <w:rPr/>
        <w:t xml:space="preserve">Indicateur simple à calculer</w:t>
      </w:r>
    </w:p>
    <w:p>
      <w:pPr/>
      <w:r>
        <w:rPr>
          <w:color w:val="B79247"/>
          <w:sz w:val="22"/>
          <w:szCs w:val="22"/>
          <w:b w:val="1"/>
          <w:bCs w:val="1"/>
        </w:rPr>
        <w:t xml:space="preserve">Principales limites</w:t>
      </w:r>
    </w:p>
    <w:p>
      <w:pPr/>
      <w:r>
        <w:rPr/>
        <w:t xml:space="preserve">	</w:t>
      </w:r>
    </w:p>
    <w:p>
      <w:pPr>
        <w:numPr>
          <w:ilvl w:val="0"/>
          <w:numId w:val="4"/>
        </w:numPr>
      </w:pPr>
      <w:r>
        <w:rPr/>
        <w:t xml:space="preserve">Suivi chronophage</w:t>
      </w:r>
    </w:p>
    <w:p>
      <w:pPr/>
      <w:r>
        <w:rPr/>
        <w:t xml:space="preserve">	</w:t>
      </w:r>
    </w:p>
    <w:p>
      <w:pPr>
        <w:numPr>
          <w:ilvl w:val="0"/>
          <w:numId w:val="4"/>
        </w:numPr>
      </w:pPr>
      <w:r>
        <w:rPr/>
        <w:t xml:space="preserve">Nécessite un grand nombre d’enquêtes pour être représentatif</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Gestionnaire Gestionnaire</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598B7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9CF8A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4D2E7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E37A4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2026-05-20T09:15:43+02:00</dcterms:created>
  <dcterms:modified xsi:type="dcterms:W3CDTF">2026-05-20T09:15:43+02:00</dcterms:modified>
</cp:coreProperties>
</file>

<file path=docProps/custom.xml><?xml version="1.0" encoding="utf-8"?>
<Properties xmlns="http://schemas.openxmlformats.org/officeDocument/2006/custom-properties" xmlns:vt="http://schemas.openxmlformats.org/officeDocument/2006/docPropsVTypes"/>
</file>