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Taux d'exploitation des laminaires</w:t>
      </w:r>
    </w:p>
    <w:p>
      <w:pPr/>
      <w:r>
        <w:rPr/>
        <w:t xml:space="preserve">Version du 30/06/2020 à 10:23:30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taux d'exploitation des laminaires est un des indicateurs utilisé pour connaître l’évolution de l’exploitation des principales espèces exploitées dans les eaux du Parc. Cet indicateur est interprété au regard de deux autres indicateurs complémentaires : le nombre moyen de jours de sortie de pêche des goémoniers actifs sur la zone et la capacité de charge maximale de ces navires pour ces espèces de laminaires.</w:t>
      </w:r>
    </w:p>
    <w:p>
      <w:pPr>
        <w:jc w:val="both"/>
      </w:pPr>
      <w:r>
        <w:rPr/>
        <w:t xml:space="preserve">L’objectif est de mettre en adéquation le taux d’exploitation des champs d’algues avec la biomasse en place pour les espèces considérées (Laminaria digitata, Laminaria hyperborea et Ascophyllum nodosum).</w:t>
      </w:r>
    </w:p>
    <w:p>
      <w:pPr/>
      <w:r>
        <w:rPr>
          <w:color w:val="B79247"/>
          <w:sz w:val="22"/>
          <w:szCs w:val="22"/>
          <w:b w:val="1"/>
          <w:bCs w:val="1"/>
        </w:rPr>
        <w:t xml:space="preserve">Objet évalué</w:t>
      </w:r>
    </w:p>
    <w:p>
      <w:pPr/>
      <w:r>
        <w:rPr/>
        <w:t xml:space="preserve">L'indicateur permet d'évaluer le taux d'exploitation des champs de laminaires au regard de la biomasse en place</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de laminaires en place</w:t>
      </w:r>
    </w:p>
    <w:p>
      <w:pPr/>
      <w:r>
        <w:rPr>
          <w:b w:val="1"/>
          <w:bCs w:val="1"/>
        </w:rPr>
        <w:t xml:space="preserve">Source des données</w:t>
      </w:r>
    </w:p>
    <w:p>
      <w:pPr/>
      <w:r>
        <w:rPr/>
        <w:t xml:space="preserve">Ces données ont été récoltées dans le cadre d’une étude réalisée par le laboratoire DYNECO de l’Ifremer en partenariat avec le PNMI, programme dénommé « Cartographie du champ d’algues ». </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 </w:t>
      </w:r>
    </w:p>
    <w:p>
      <w:pPr/>
      <w:r>
        <w:rPr>
          <w:b w:val="1"/>
          <w:bCs w:val="1"/>
        </w:rPr>
        <w:t xml:space="preserve">Moyens humains et matériels</w:t>
      </w:r>
    </w:p>
    <w:p>
      <w:pPr/>
      <w:r>
        <w:rPr/>
        <w:t xml:space="preserve">cf. rapport</w:t>
      </w:r>
    </w:p>
    <w:p>
      <w:pPr/>
      <w:r>
        <w:rPr>
          <w:b w:val="1"/>
          <w:bCs w:val="1"/>
        </w:rPr>
        <w:t xml:space="preserve">Protocole de récolte</w:t>
      </w:r>
    </w:p>
    <w:p>
      <w:pPr>
        <w:jc w:val="both"/>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Biomasse de laminaires exploitée</w:t>
      </w:r>
    </w:p>
    <w:p>
      <w:pPr/>
      <w:r>
        <w:rPr>
          <w:b w:val="1"/>
          <w:bCs w:val="1"/>
        </w:rPr>
        <w:t xml:space="preserve">Source des données</w:t>
      </w:r>
    </w:p>
    <w:p>
      <w:pPr/>
      <w:r>
        <w:rPr/>
        <w:t xml:space="preserve">Les données sont collectées par l'Ifremer auprès des usines de transformations des algues.</w:t>
      </w:r>
      <w:br/>
      <w:r>
        <w:rPr/>
        <w:t xml:space="preserve">Ces données sont récoltées à l’échelle de la journée et par navire. Elles permettent de connaître la biomasse exploitée des navires pour les espèces de laminaires considérées. L'AMP récupère ces données d'exploitation directement auprès de l'Ifremer dans le cadre d'une convention tripartite OFB-Ifremer-DPMA.</w:t>
      </w:r>
      <w:br/>
    </w:p>
    <w:p>
      <w:pPr/>
      <w:r>
        <w:rPr>
          <w:b w:val="1"/>
          <w:bCs w:val="1"/>
        </w:rPr>
        <w:t xml:space="preserve">Stratégie spatiale</w:t>
      </w:r>
    </w:p>
    <w:p>
      <w:pPr/>
      <w:r>
        <w:rPr/>
        <w:t xml:space="preserve">Les données collectées concernent les goémoniers équipés d’un scoubidou et pêchant dans le périmètre du Parc.</w:t>
      </w:r>
      <w:br/>
      <w:br/>
      <w:r>
        <w:rPr/>
        <w:t xml:space="preserve">Remarque : les données de biomasse exploitée utilisées pour le calcul de cette métrique ne permettent pas de connaitre précisément la zone de pêche et donc l’identification précise des navires actifs dans le Parc ainsi que leur taux de dépendance. Pour palier à ce problème, la zone de pêche est estimée à partir du port de débarquement des navires. Un tableau de correspondance entre zone de pêche et port de débarquement a été élaboré et est utilisé pour cibler les débarquements d'intérêt. Ce sont les données de ces ports qui sont utilisés pour calculer cet indicateur.  </w:t>
      </w:r>
      <w:br/>
    </w:p>
    <w:p>
      <w:pPr/>
      <w:r>
        <w:rPr>
          <w:b w:val="1"/>
          <w:bCs w:val="1"/>
        </w:rPr>
        <w:t xml:space="preserve">Stratégie temporelle</w:t>
      </w:r>
    </w:p>
    <w:p>
      <w:pPr/>
      <w:r>
        <w:rPr/>
        <w:t xml:space="preserve">Les données sont récupérées auprès de l'Ifremer une fois par an.</w:t>
      </w:r>
    </w:p>
    <w:p>
      <w:pPr/>
      <w:r>
        <w:rPr>
          <w:b w:val="1"/>
          <w:bCs w:val="1"/>
        </w:rPr>
        <w:t xml:space="preserve">Moyens humains et matériels</w:t>
      </w:r>
    </w:p>
    <w:p>
      <w:pPr/>
      <w:r>
        <w:rPr/>
        <w:t xml:space="preserve">1 chargé de mission, 0.1j.</w:t>
      </w:r>
      <w:br/>
      <w:r>
        <w:rPr/>
        <w:t xml:space="preserve">Remarque : le temps de collecte des données par l'Ifremer n'est pas pris en compte ici. </w:t>
      </w:r>
    </w:p>
    <w:p>
      <w:pPr/>
      <w:r>
        <w:rPr>
          <w:b w:val="1"/>
          <w:bCs w:val="1"/>
        </w:rPr>
        <w:t xml:space="preserve">Protocole de récolte</w:t>
      </w:r>
    </w:p>
    <w:p>
      <w:pPr/>
      <w:r>
        <w:rPr/>
        <w:t xml:space="preserve">L’ensemble des données de biomasse exploitée pour les espèces considérées est récupéré auprès du référent Ifremer. Ces données seront directement utilisées pour le calcul de la métrique.</w:t>
      </w:r>
    </w:p>
    <w:p>
      <w:pPr/>
      <w:r>
        <w:rPr>
          <w:b w:val="1"/>
          <w:bCs w:val="1"/>
        </w:rPr>
        <w:t xml:space="preserve">Référentiel(s) utilisé(s)</w:t>
      </w:r>
    </w:p>
    <w:p>
      <w:pPr/>
      <w:r>
        <w:rPr/>
        <w:t xml:space="preserve">référentiel espèces FAO</w:t>
      </w:r>
      <w:br/>
      <w:r>
        <w:rPr/>
        <w:t xml:space="preserve">référentiel spatial : rectangle CIEM</w:t>
      </w:r>
      <w:br/>
      <w:r>
        <w:rPr/>
        <w:t xml:space="preserve">référentiel engin :  FAO</w:t>
      </w:r>
    </w:p>
    <w:p>
      <w:pPr/>
      <w:r>
        <w:rPr>
          <w:b w:val="1"/>
          <w:bCs w:val="1"/>
        </w:rPr>
        <w:t xml:space="preserve">Base(s) de données utilisée(s)</w:t>
      </w:r>
    </w:p>
    <w:p>
      <w:pPr/>
      <w:r>
        <w:rPr/>
        <w:t xml:space="preserve">Harmonie - SIH</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de laminaires en place totale</w:t>
      </w:r>
    </w:p>
    <w:p>
      <w:pPr/>
      <w:r>
        <w:rPr>
          <w:b w:val="1"/>
          <w:bCs w:val="1"/>
        </w:rPr>
        <w:t xml:space="preserve">Stratégie spatiale</w:t>
      </w:r>
    </w:p>
    <w:p>
      <w:pPr/>
      <w:r>
        <w:rPr/>
        <w:t xml:space="preserve">champs de laminaires clés pour l'AMP</w:t>
      </w:r>
    </w:p>
    <w:p>
      <w:pPr/>
      <w:r>
        <w:rPr>
          <w:b w:val="1"/>
          <w:bCs w:val="1"/>
        </w:rPr>
        <w:t xml:space="preserve">Stratégie temporelle</w:t>
      </w:r>
    </w:p>
    <w:p>
      <w:pPr/>
      <w:r>
        <w:rPr/>
        <w:t xml:space="preserve">à définir. L'état initial a été réalisé mais la mise à jour régulière n'a pas encore été mise en œuvre</w:t>
      </w:r>
      <w:br/>
    </w:p>
    <w:p>
      <w:pPr/>
      <w:r>
        <w:rPr>
          <w:b w:val="1"/>
          <w:bCs w:val="1"/>
        </w:rPr>
        <w:t xml:space="preserve">Moyens humains et matériels</w:t>
      </w:r>
    </w:p>
    <w:p>
      <w:pPr/>
      <w:r>
        <w:rPr/>
        <w:t xml:space="preserve">cf. rapport</w:t>
      </w:r>
    </w:p>
    <w:p>
      <w:pPr/>
      <w:r>
        <w:rPr>
          <w:b w:val="1"/>
          <w:bCs w:val="1"/>
        </w:rPr>
        <w:t xml:space="preserve">Méthode de calcul</w:t>
      </w:r>
    </w:p>
    <w:p>
      <w:pPr/>
      <w:r>
        <w:rPr/>
        <w:t xml:space="preserve">Sur la base des données collectées, une Cartographie du champ d’algues a été réalisée. Cette cartographie permet de définir la biomasse en place à l'échelle du Parc.</w:t>
      </w:r>
    </w:p>
    <w:p>
      <w:pPr>
        <w:jc w:val="both"/>
      </w:pPr>
      <w:r>
        <w:rPr/>
        <w:t xml:space="preserve">Pour plus d’informations sur le protocole, se référer au rapport final de ce projet : « Bajjouk T., Rochette S., Ehrhold A., Cordier C., Tourolle J., Laurans M., Hamdi A., Gorman D., Gaffet J.D., Caisey X., Vasquez M. &amp; Populus J., 2013. Cartographie prédictive du champ de Laminaires du plateau Molène sur la base des données physiques et biologiques. Rapport Final Ifremer, Réf. DYNECO/AG/13-03/TB, 94 p. ». </w:t>
      </w:r>
    </w:p>
    <w:p>
      <w:pPr/>
      <w:r>
        <w:rPr>
          <w:color w:val="B79247"/>
          <w:sz w:val="22"/>
          <w:szCs w:val="22"/>
          <w:b w:val="1"/>
          <w:bCs w:val="1"/>
        </w:rPr>
        <w:t xml:space="preserve">Biomasse de laminaires exploitées</w:t>
      </w:r>
    </w:p>
    <w:p>
      <w:pPr/>
      <w:r>
        <w:rPr>
          <w:b w:val="1"/>
          <w:bCs w:val="1"/>
        </w:rPr>
        <w:t xml:space="preserve">Stratégie spatiale</w:t>
      </w:r>
    </w:p>
    <w:p>
      <w:pPr/>
      <w:r>
        <w:rPr/>
        <w:t xml:space="preserve">Données d'exploitation à l'échelle de l'ensemble du périmètre du Parc</w:t>
      </w:r>
    </w:p>
    <w:p>
      <w:pPr/>
      <w:r>
        <w:rPr>
          <w:b w:val="1"/>
          <w:bCs w:val="1"/>
        </w:rPr>
        <w:t xml:space="preserve">Stratégie temporelle</w:t>
      </w:r>
    </w:p>
    <w:p>
      <w:pPr/>
      <w:r>
        <w:rPr/>
        <w:t xml:space="preserve">La biomasse exploitée est calculée annuellement sur la base des données déclaratives de l'année passée.</w:t>
      </w:r>
    </w:p>
    <w:p>
      <w:pPr/>
      <w:r>
        <w:rPr>
          <w:b w:val="1"/>
          <w:bCs w:val="1"/>
        </w:rPr>
        <w:t xml:space="preserve">Moyens humains et matériels</w:t>
      </w:r>
    </w:p>
    <w:p>
      <w:pPr/>
      <w:r>
        <w:rPr/>
        <w:t xml:space="preserve">1 chargé de mission ; 0.2j</w:t>
      </w:r>
    </w:p>
    <w:p>
      <w:pPr/>
      <w:r>
        <w:rPr>
          <w:b w:val="1"/>
          <w:bCs w:val="1"/>
        </w:rPr>
        <w:t xml:space="preserve">Méthode de calcul</w:t>
      </w:r>
    </w:p>
    <w:p>
      <w:pPr>
        <w:jc w:val="both"/>
      </w:pPr>
      <w:r>
        <w:rPr/>
        <w:t xml:space="preserve">La biomasse exploitée est calculée en réalisant la somme des productions de l’ensemble des navires sur l’année considérée.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du Parc.</w:t>
      </w:r>
    </w:p>
    <w:p>
      <w:pPr/>
      <w:r>
        <w:rPr>
          <w:color w:val="B79247"/>
          <w:sz w:val="22"/>
          <w:szCs w:val="22"/>
          <w:b w:val="1"/>
          <w:bCs w:val="1"/>
        </w:rPr>
        <w:t xml:space="preserve">Stratégie temporelle</w:t>
      </w:r>
    </w:p>
    <w:p>
      <w:pPr/>
      <w:r>
        <w:rPr/>
        <w:t xml:space="preserve">L'indicateur est actualisé tous les ans, sur la base des données de l'année précédente.</w:t>
      </w:r>
    </w:p>
    <w:p>
      <w:pPr/>
      <w:r>
        <w:rPr>
          <w:color w:val="B79247"/>
          <w:sz w:val="22"/>
          <w:szCs w:val="22"/>
          <w:b w:val="1"/>
          <w:bCs w:val="1"/>
        </w:rPr>
        <w:t xml:space="preserve">Moyens humains et matériels</w:t>
      </w:r>
    </w:p>
    <w:p>
      <w:pPr/>
      <w:r>
        <w:rPr/>
        <w:t xml:space="preserve">1 chargé de mission ; 0.2j</w:t>
      </w:r>
    </w:p>
    <w:p>
      <w:pPr/>
      <w:r>
        <w:rPr>
          <w:color w:val="B79247"/>
          <w:sz w:val="22"/>
          <w:szCs w:val="22"/>
          <w:b w:val="1"/>
          <w:bCs w:val="1"/>
        </w:rPr>
        <w:t xml:space="preserve">Méthode de calcul</w:t>
      </w:r>
    </w:p>
    <w:p>
      <w:pPr>
        <w:jc w:val="both"/>
      </w:pPr>
      <w:r>
        <w:rPr/>
        <w:t xml:space="preserve">Pour calculer le taux d'exploitation, on réalise le rapport entre 1) la biomasse exploitée par l’ensemble des navires actif sur le périmètre du Parc sur l’année entière et 2) la biomasse en place estimée l’année la plus récente (dernier rapport disponible). L’hypothèse est faite que la biomasse en place n’a pas évoluée significativement depuis cette dernière estimation.</w:t>
      </w:r>
    </w:p>
    <w:p>
      <w:pPr>
        <w:jc w:val="both"/>
      </w:pPr>
      <w:r>
        <w:rPr/>
        <w:t xml:space="preserve">Pour interpréter cet indicateur, l'évolution de la biomasse exploitée annuellement est également étudiée (boxplot et tests statistiques).</w:t>
      </w:r>
    </w:p>
    <w:p>
      <w:pPr/>
      <w:r>
        <w:rPr>
          <w:color w:val="B79247"/>
          <w:sz w:val="22"/>
          <w:szCs w:val="22"/>
          <w:b w:val="1"/>
          <w:bCs w:val="1"/>
        </w:rPr>
        <w:t xml:space="preserve">Lecture</w:t>
      </w:r>
    </w:p>
    <w:p>
      <w:pPr/>
      <w:r>
        <w:rPr/>
        <w:t xml:space="preserve">La grille de lecture n'est pas encore définie pour cet indicateur. Des échanges doivent avoir lieu avec les experts et les professionnels.</w:t>
      </w:r>
    </w:p>
    <w:p>
      <w:pPr/>
      <w:r>
        <w:rPr>
          <w:color w:val="B79247"/>
          <w:sz w:val="22"/>
          <w:szCs w:val="22"/>
          <w:b w:val="1"/>
          <w:bCs w:val="1"/>
        </w:rPr>
        <w:t xml:space="preserve">Grille de lecture</w:t>
      </w:r>
    </w:p>
    <w:p>
      <w:pPr/>
      <w:r>
        <w:rPr/>
        <w:t xml:space="preserve">Non définie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pas d'actualisation des données de biomasse en place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Bajjouk T., Vasquez M., 2013, Cartographie prédictive du champ de Laminaires du plateau Molène sur la base des données physiques et biologiques., Rapport Final Ifremer, Réf. DYNECO/AG/13-03/TB, 94p.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