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Production de pêche professionnelle par espèce et par marée</w:t>
      </w:r>
    </w:p>
    <w:p>
      <w:pPr/>
      <w:r>
        <w:rPr/>
        <w:t xml:space="preserve">Version du 27/09/2021 à 09:19:27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"production de pêche professionnelle par espèce et par marée" permet d'étudier un proxy de l'état de différentes espèces d'intérêt halieutique ; l'hypothèse étant faite que si un stock se porte mal, des répercussions seront observées dans les captures. </w:t>
      </w:r>
    </w:p>
    <w:p>
      <w:pPr>
        <w:jc w:val="both"/>
      </w:pPr>
      <w:r>
        <w:rPr/>
        <w:t xml:space="preserve">Deux types d'espèces sont généralement distinguées : </w:t>
      </w:r>
    </w:p>
    <w:p>
      <w:pPr/>
      <w:r>
        <w:rPr/>
        <w:t xml:space="preserve">	</w:t>
      </w:r>
    </w:p>
    <w:p>
      <w:pPr>
        <w:numPr>
          <w:ilvl w:val="0"/>
          <w:numId w:val="1"/>
        </w:numPr>
      </w:pPr>
      <w:r>
        <w:rPr/>
        <w:t xml:space="preserve">les espèces dont le cycle de vie se fait, majoritairement ou entièrement, à l’échelle des eaux de l'aire marine protégée </w:t>
      </w:r>
    </w:p>
    <w:p>
      <w:pPr/>
      <w:r>
        <w:rPr/>
        <w:t xml:space="preserve">	</w:t>
      </w:r>
    </w:p>
    <w:p>
      <w:pPr>
        <w:numPr>
          <w:ilvl w:val="0"/>
          <w:numId w:val="1"/>
        </w:numPr>
      </w:pPr>
      <w:r>
        <w:rPr/>
        <w:t xml:space="preserve">les espèces dont le cycle de vie ne se fait pas majoritairement à l'échelle des eaux de l'aire marine protégée. </w:t>
      </w:r>
    </w:p>
    <w:p>
      <w:pPr>
        <w:jc w:val="both"/>
      </w:pPr>
      <w:r>
        <w:rPr/>
        <w:t xml:space="preserve">Les espèces à suivre sont définies localement en fonction de l'importance locale de chacune des espèces.</w:t>
      </w:r>
    </w:p>
    <w:p>
      <w:pPr/>
      <w:r>
        <w:rPr>
          <w:color w:val="B79247"/>
          <w:sz w:val="22"/>
          <w:szCs w:val="22"/>
          <w:b w:val="1"/>
          <w:bCs w:val="1"/>
        </w:rPr>
        <w:t xml:space="preserve">Objet évalué</w:t>
      </w:r>
    </w:p>
    <w:p>
      <w:pPr/>
      <w:r>
        <w:rPr/>
        <w:t xml:space="preserve">L'indicateur permet d'évaluer le maintient des capacités productives et reproductives des stocks.</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Production par marée par espèce par année</w:t>
      </w:r>
    </w:p>
    <w:p>
      <w:pPr/>
      <w:r>
        <w:rPr>
          <w:b w:val="1"/>
          <w:bCs w:val="1"/>
        </w:rPr>
        <w:t xml:space="preserve">Stratégie spatiale</w:t>
      </w:r>
    </w:p>
    <w:p>
      <w:pPr/>
      <w:r>
        <w:rPr/>
        <w:t xml:space="preserve">Les productions par marée par espèce et par année sont calculées à l'échelle de l'AMP dans son ensemble. </w:t>
      </w:r>
      <w:br/>
      <w:r>
        <w:rPr/>
        <w:t xml:space="preserve">Pour des socks inféodés et inégalement répartis sur la zone d'étude, il est possible de calculer ces productions à l'échelle du rectangle ou du sous-rectangle pour avoir une vision plus précise de la répartition spatiale des productions.</w:t>
      </w:r>
    </w:p>
    <w:p>
      <w:pPr/>
      <w:r>
        <w:rPr>
          <w:b w:val="1"/>
          <w:bCs w:val="1"/>
        </w:rPr>
        <w:t xml:space="preserve">Stratégie temporelle</w:t>
      </w:r>
    </w:p>
    <w:p>
      <w:pPr/>
      <w:r>
        <w:rPr/>
        <w:t xml:space="preserve">Les productions par marée et par espèce sont calculées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une visualisation complète des productions, celles-ci sont représentées sous forme de boîtes à moustaches (ou boxplot). Cette représentation a l'avantage de représenter la variabilité des productions sur l'année et non pas seulement des valeurs précises (médianes et/ou moyennes par exemple). Chaque boxplot représente la production par marée pour une espèce pour une année. La valeur moyenne est également rajoutée sur le graphique.</w:t>
      </w:r>
    </w:p>
    <w:p>
      <w:pPr/>
      <w:r>
        <w:rPr/>
        <w:t xml:space="preserve">La réalisation de ces calculs/représentations est faite grâce à un script R qui permet d'automatiser le calcul annuellement.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Pour des besoins plus fins, il est possible de réaliser le calcul de l'indicateur à l'échelle des secteurs statistiques.</w:t>
      </w:r>
    </w:p>
    <w:p>
      <w:pPr/>
      <w:r>
        <w:rPr>
          <w:color w:val="B79247"/>
          <w:sz w:val="22"/>
          <w:szCs w:val="22"/>
          <w:b w:val="1"/>
          <w:bCs w:val="1"/>
        </w:rPr>
        <w:t xml:space="preserve">Stratégie temporelle</w:t>
      </w:r>
    </w:p>
    <w:p>
      <w:pPr/>
      <w:r>
        <w:rPr/>
        <w:t xml:space="preserve">L'indicateur est calculé sur la série temporelle d'intérêt. L'indicateur étant basé sur l'étude d'une tendance, un recul de quelques années est intéressant pour pouvoir interpréter statistiquement les évolutions. Dans le cas de l'évaluation d'un document de gestion, il est intéressant de suivre l'évolution sur toute sa durée. </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aux tendances des productions par marée et par année sur l'ensemble de la période d'intérêt.</w:t>
      </w:r>
    </w:p>
    <w:p>
      <w:pPr/>
      <w:r>
        <w:rPr/>
        <w:t xml:space="preserve">Des tests statistiques sont réalisés pour confirmer que les tendances observées sont statistiquement représentatives. Pour faciliter cette interprétation, les calculs sont réalisés avec le logiciel R.</w:t>
      </w:r>
    </w:p>
    <w:p>
      <w:pPr/>
      <w:r>
        <w:rPr>
          <w:color w:val="B79247"/>
          <w:sz w:val="22"/>
          <w:szCs w:val="22"/>
          <w:b w:val="1"/>
          <w:bCs w:val="1"/>
        </w:rPr>
        <w:t xml:space="preserve">Lecture</w:t>
      </w:r>
    </w:p>
    <w:p>
      <w:pPr/>
      <w:r>
        <w:rPr/>
        <w:t xml:space="preserve">L'interprétation de cet indicateur se fait sur la base de l'étude des tendances sur le période.</w:t>
      </w:r>
    </w:p>
    <w:p>
      <w:pPr/>
      <w:r>
        <w:rPr/>
        <w:t xml:space="preserve">Il est important de prendre également en considération l'évolution de l'effort de pêche sur la même période. Des variables contextuelles peuvent également permettre de mieux interpréter les évolutions (ex : évaluation CIEM des stocks, évolution des tailles de captures, etc.)</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Evolution de la production par espèce et par marée   </w:t>
            </w:r>
          </w:p>
        </w:tc>
        <w:tc>
          <w:tcPr>
            <w:shd w:val="clear" w:fill="red"/>
            <w:noWrap/>
          </w:tcPr>
          <w:p>
            <w:pPr/>
            <w:r>
              <w:rPr>
                <w:shd w:val="clear" w:fill="red"/>
              </w:rPr>
              <w:t xml:space="preserve">        /</w:t>
            </w:r>
          </w:p>
        </w:tc>
        <w:tc>
          <w:tcPr>
            <w:shd w:val="clear" w:fill="orange"/>
            <w:noWrap/>
          </w:tcPr>
          <w:p>
            <w:pPr/>
            <w:r>
              <w:rPr>
                <w:shd w:val="clear" w:fill="orange"/>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p>
        </w:tc>
        <w:tc>
          <w:tcPr>
            <w:shd w:val="clear" w:fill="yellow"/>
            <w:noWrap/>
          </w:tcPr>
          <w:p>
            <w:pPr/>
            <w:r>
              <w:rPr>
                <w:shd w:val="clear" w:fill="yellow"/>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p>
        </w:tc>
        <w:tc>
          <w:tcPr>
            <w:shd w:val="clear" w:fill="green"/>
            <w:noWrap/>
          </w:tcPr>
          <w:p>
            <w:pPr/>
            <w:r>
              <w:pict>
                <v:shape type="#_x0000_t75" stroked="f" style="width:48pt; height:48pt; margin-left:0pt; margin-top:0pt; mso-position-horizontal:left; mso-position-vertical:top; mso-position-horizontal-relative:char; mso-position-vertical-relative:line;">
                  <w10:wrap type="inline"/>
                  <v:imagedata r:id="rId9" o:title=""/>
                </v:shape>
              </w:pict>
            </w:r>
          </w:p>
        </w:tc>
        <w:tc>
          <w:tcPr>
            <w:shd w:val="clear" w:fill="dodgerblue"/>
            <w:noWrap/>
          </w:tcPr>
          <w:p>
            <w:pPr/>
            <w:r>
              <w:rPr>
                <w:shd w:val="clear" w:fill="dodgerblue"/>
              </w:rPr>
              <w:t xml:space="preserve">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modification des techniques de pêche</w:t>
      </w:r>
      <w:br/>
      <w:r>
        <w:rPr/>
        <w:t xml:space="preserve">- modification des espèces ciblées</w:t>
      </w:r>
      <w:br/>
      <w:r>
        <w:rPr/>
        <w:t xml:space="preserve">- modification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en routine avec un historique conséquent</w:t>
      </w:r>
    </w:p>
    <w:p>
      <w:pPr/>
      <w:r>
        <w:rPr/>
        <w:t xml:space="preserve">Applicables à toutes les espèces ciblées par la pêche professionnelle embarquée</w:t>
      </w:r>
    </w:p>
    <w:p>
      <w:pPr/>
      <w:r>
        <w:rPr/>
        <w:t xml:space="preserve"> </w:t>
      </w:r>
    </w:p>
    <w:p>
      <w:pPr/>
      <w:r>
        <w:rPr>
          <w:color w:val="B79247"/>
          <w:sz w:val="22"/>
          <w:szCs w:val="22"/>
          <w:b w:val="1"/>
          <w:bCs w:val="1"/>
        </w:rPr>
        <w:t xml:space="preserve">Principales limites</w:t>
      </w:r>
    </w:p>
    <w:p>
      <w:pPr/>
      <w:r>
        <w:rPr/>
        <w:t xml:space="preserve">N'intègre pas l'effort de pêche dans le calcul (temps de pêche et caractéristiques des engins)</w:t>
      </w:r>
    </w:p>
    <w:p>
      <w:pPr/>
      <w:r>
        <w:rPr/>
        <w:t xml:space="preserve">calcul de l'indicateur se fait l'année N sur les données N-1</w:t>
      </w:r>
    </w:p>
    <w:p>
      <w:pPr/>
      <w:r>
        <w:rPr/>
        <w:t xml:space="preserve"> </w:t>
      </w:r>
    </w:p>
    <w:p>
      <w:pPr/>
      <w:r>
        <w:rPr>
          <w:color w:val="B79247"/>
          <w:sz w:val="22"/>
          <w:szCs w:val="22"/>
          <w:b w:val="1"/>
          <w:bCs w:val="1"/>
        </w:rPr>
        <w:t xml:space="preserve">Pistes d'amélioration</w:t>
      </w:r>
    </w:p>
    <w:p>
      <w:pPr/>
      <w:r>
        <w:rPr/>
        <w:t xml:space="preserve">Calculer des captures par unité d'effort (CPUE) plutôt que des productions par marée pour intégrer l'effort de pêche</w:t>
      </w:r>
    </w:p>
    <w:p>
      <w:pPr/>
      <w:r>
        <w:rPr/>
        <w:t xml:space="preserve">Interpréter les tendances au regard des tendances de la pression de pêche</w:t>
      </w:r>
    </w:p>
    <w:p>
      <w:pPr/>
      <w:r>
        <w:rPr/>
        <w:t xml:space="preserve">Interpréter les tendances au regard des évolutions à l'échelle des stocks (principalement pour les espèces à large distribution)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1CBF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2026-08-21T04:17:40+02:00</dcterms:created>
  <dcterms:modified xsi:type="dcterms:W3CDTF">2026-08-21T04:17:40+02:00</dcterms:modified>
</cp:coreProperties>
</file>

<file path=docProps/custom.xml><?xml version="1.0" encoding="utf-8"?>
<Properties xmlns="http://schemas.openxmlformats.org/officeDocument/2006/custom-properties" xmlns:vt="http://schemas.openxmlformats.org/officeDocument/2006/docPropsVTypes"/>
</file>