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Production de pêche professionnelle par espèce et par marée</w:t>
      </w:r>
    </w:p>
    <w:p>
      <w:pPr/>
      <w:r>
        <w:rPr/>
        <w:t xml:space="preserve">Version du 27/09/2021 à 09:19:27</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jc w:val="both"/>
      </w:pPr>
      <w:r>
        <w:rPr/>
        <w:t xml:space="preserve">L’indicateur "production de pêche professionnelle par espèce et par marée" permet d'étudier un proxy de l'état de différentes espèces d'intérêt halieutique ; l'hypothèse étant faite que si un stock se porte mal, des répercussions seront observées dans les captures. </w:t>
      </w:r>
    </w:p>
    <w:p>
      <w:pPr>
        <w:jc w:val="both"/>
      </w:pPr>
      <w:r>
        <w:rPr/>
        <w:t xml:space="preserve">Deux types d'espèces sont généralement distinguées : </w:t>
      </w:r>
    </w:p>
    <w:p>
      <w:pPr/>
      <w:r>
        <w:rPr/>
        <w:t xml:space="preserve">	</w:t>
      </w:r>
    </w:p>
    <w:p>
      <w:pPr>
        <w:numPr>
          <w:ilvl w:val="0"/>
          <w:numId w:val="1"/>
        </w:numPr>
      </w:pPr>
      <w:r>
        <w:rPr/>
        <w:t xml:space="preserve">les espèces dont le cycle de vie se fait, majoritairement ou entièrement, à l’échelle des eaux de l'aire marine protégée </w:t>
      </w:r>
    </w:p>
    <w:p>
      <w:pPr/>
      <w:r>
        <w:rPr/>
        <w:t xml:space="preserve">	</w:t>
      </w:r>
    </w:p>
    <w:p>
      <w:pPr>
        <w:numPr>
          <w:ilvl w:val="0"/>
          <w:numId w:val="1"/>
        </w:numPr>
      </w:pPr>
      <w:r>
        <w:rPr/>
        <w:t xml:space="preserve">les espèces dont le cycle de vie ne se fait pas majoritairement à l'échelle des eaux de l'aire marine protégée. </w:t>
      </w:r>
    </w:p>
    <w:p>
      <w:pPr>
        <w:jc w:val="both"/>
      </w:pPr>
      <w:r>
        <w:rPr/>
        <w:t xml:space="preserve">Les espèces à suivre sont définies localement en fonction de l'importance locale de chacune des espèces.</w:t>
      </w:r>
    </w:p>
    <w:p>
      <w:pPr/>
      <w:r>
        <w:rPr>
          <w:color w:val="B79247"/>
          <w:sz w:val="22"/>
          <w:szCs w:val="22"/>
          <w:b w:val="1"/>
          <w:bCs w:val="1"/>
        </w:rPr>
        <w:t xml:space="preserve">Objet évalué</w:t>
      </w:r>
    </w:p>
    <w:p>
      <w:pPr/>
      <w:r>
        <w:rPr/>
        <w:t xml:space="preserve">L'indicateur permet d'évaluer le maintient des capacités productives et reproductives des stocks.</w:t>
      </w:r>
    </w:p>
    <w:p>
      <w:pPr/>
      <w:r>
        <w:rPr>
          <w:color w:val="B79247"/>
          <w:sz w:val="22"/>
          <w:szCs w:val="22"/>
          <w:b w:val="1"/>
          <w:bCs w:val="1"/>
        </w:rPr>
        <w:t xml:space="preserve">Finalité(s)</w:t>
      </w:r>
    </w:p>
    <w:p>
      <w:pPr/>
      <w:r>
        <w:rPr/>
        <w:t xml:space="preserve">F5. L’exploitation durable des ressources</w:t>
      </w:r>
    </w:p>
    <w:p>
      <w:pPr/>
      <w:r>
        <w:rPr>
          <w:color w:val="B79247"/>
          <w:sz w:val="22"/>
          <w:szCs w:val="22"/>
          <w:b w:val="1"/>
          <w:bCs w:val="1"/>
        </w:rPr>
        <w:t xml:space="preserve">Déclinaison locale des finalités</w:t>
      </w:r>
    </w:p>
    <w:p>
      <w:pPr/>
      <w:r>
        <w:rPr/>
        <w:t xml:space="preserve">PNMI : </w:t>
      </w:r>
    </w:p>
    <w:p>
      <w:pPr/>
      <w:r>
        <w:rPr>
          <w:color w:val="B79247"/>
          <w:sz w:val="22"/>
          <w:szCs w:val="22"/>
          <w:b w:val="1"/>
          <w:bCs w:val="1"/>
        </w:rPr>
        <w:t xml:space="preserve">Thème(s)</w:t>
      </w:r>
    </w:p>
    <w:p>
      <w:pPr/>
      <w:r>
        <w:rPr/>
        <w:t xml:space="preserve">Usages &gt; Aspect écologique</w:t>
      </w:r>
      <w:br/>
      <w:r>
        <w:rPr/>
        <w:t xml:space="preserve">Usages &gt; Pêche et aquaculture</w:t>
      </w:r>
    </w:p>
    <w:p>
      <w:pPr/>
      <w:r>
        <w:rPr>
          <w:color w:val="B79247"/>
          <w:sz w:val="22"/>
          <w:szCs w:val="22"/>
          <w:b w:val="1"/>
          <w:bCs w:val="1"/>
        </w:rPr>
        <w:t xml:space="preserve">Réglementation</w:t>
      </w:r>
    </w:p>
    <w:p>
      <w:pPr/>
      <w:r>
        <w:rPr/>
        <w:t xml:space="preserve">DCF [Data Collection Framework]</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Pelletier D., Leonardi S., 2010, Propositions d’indicateurs d’une gestion durable des ressources halieutiques – Application au Parc Naturel Marin de l’Iroise », Rapport Ifremer Brest, 83p.</w:t>
      </w:r>
    </w:p>
    <w:p>
      <w:pPr/>
      <w:r>
        <w:rPr>
          <w:color w:val="0087a5"/>
          <w:sz w:val="26"/>
          <w:szCs w:val="26"/>
          <w:b w:val="1"/>
          <w:bCs w:val="1"/>
          <w:caps w:val="0"/>
        </w:rPr>
        <w:t xml:space="preserve">Indicateurs corrélés</w:t>
      </w:r>
    </w:p>
    <w:p>
      <w:pPr/>
      <w:r>
        <w:rPr>
          <w:color w:val="B79247"/>
          <w:sz w:val="22"/>
          <w:szCs w:val="22"/>
          <w:b w:val="1"/>
          <w:bCs w:val="1"/>
        </w:rPr>
        <w:t xml:space="preserve">Nombre de navires actifs par flottille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Production individuelle déclarée par marée par navire</w:t>
      </w:r>
    </w:p>
    <w:p>
      <w:pPr/>
      <w:r>
        <w:rPr>
          <w:b w:val="1"/>
          <w:bCs w:val="1"/>
        </w:rPr>
        <w:t xml:space="preserve">Source des données</w:t>
      </w:r>
    </w:p>
    <w:p>
      <w:pPr/>
      <w:r>
        <w:rPr/>
        <w:t xml:space="preserve">Journaux de bord (log books) et fiches de pêche des navires de pêche professionnelle : données administratives regroupant les déclarations de captures et d'effort de pêche des pêcheurs professionnels, issues des journaux de bord pour les navires de 10 mètres et plus et des fiches de pêche pour les navires de moins de 10 mètres (source : DPMA).</w:t>
      </w:r>
      <w:br/>
      <w:r>
        <w:rPr/>
        <w:t xml:space="preserve">Ces déclarations sont réalisés par chaque pêcheur professionnel pour chaque sortie réalisée.</w:t>
      </w:r>
    </w:p>
    <w:p>
      <w:pPr/>
      <w:r>
        <w:rPr>
          <w:b w:val="1"/>
          <w:bCs w:val="1"/>
        </w:rPr>
        <w:t xml:space="preserve">Stratégie spatiale</w:t>
      </w:r>
    </w:p>
    <w:p>
      <w:pPr/>
      <w:r>
        <w:rPr/>
        <w:t xml:space="preserve">Les déclarations sont réalisées à l'échelle des rectangles ou des sous-rectangles CIEM. </w:t>
      </w:r>
    </w:p>
    <w:p>
      <w:pPr/>
      <w:r>
        <w:rPr>
          <w:b w:val="1"/>
          <w:bCs w:val="1"/>
        </w:rPr>
        <w:t xml:space="preserve">Stratégie temporelle</w:t>
      </w:r>
    </w:p>
    <w:p>
      <w:pPr/>
      <w:r>
        <w:rPr/>
        <w:t xml:space="preserve">Les déclarations de pêche sont réalisées à l'échelle de la marée, c'est à dire de l'action (ou des actions) de pêche qui ont eu lieu entre un départ et un retour au port.</w:t>
      </w:r>
    </w:p>
    <w:p>
      <w:pPr/>
      <w:r>
        <w:rPr>
          <w:b w:val="1"/>
          <w:bCs w:val="1"/>
        </w:rPr>
        <w:t xml:space="preserve">Moyens humains et matériels</w:t>
      </w:r>
    </w:p>
    <w:p>
      <w:pPr/>
      <w:r>
        <w:rPr/>
        <w:t xml:space="preserve">Les déclaration de pêche sont obligatoires pour les pêcheurs professionnels. Par conséquent, la récupération de ces données ne nécessitent pas de moyens particuliers. Seule une extraction des bases de données nationales est nécessaire. </w:t>
      </w:r>
      <w:br/>
      <w:r>
        <w:rPr/>
        <w:t xml:space="preserve">Cette extraction est réalisée par l'Ifremer dans le cadre d'une convention OFB-Ifremer-DPMA.</w:t>
      </w:r>
    </w:p>
    <w:p>
      <w:pPr/>
      <w:r>
        <w:rPr>
          <w:b w:val="1"/>
          <w:bCs w:val="1"/>
        </w:rPr>
        <w:t xml:space="preserve">Protocole de récolte</w:t>
      </w:r>
    </w:p>
    <w:p>
      <w:pPr/>
      <w:r>
        <w:rPr/>
        <w:t xml:space="preserve">L'extraction des données nécessaires est réalisée par l'Ifremer dans le cadre d'une convention OFB-Ifremer-DPMA.</w:t>
      </w:r>
    </w:p>
    <w:p>
      <w:pPr/>
      <w:r>
        <w:rPr/>
        <w:t xml:space="preserve">L'Ifremer fournit les données de productions à l'échelle spatiale la plus précise (niveau rectangle ou sous-rectangle) pour l'ensemble des marées réalisées au sein du périmètre de l'AMP et pour l'ensemble des espèces.</w:t>
      </w:r>
    </w:p>
    <w:p>
      <w:pPr/>
      <w:r>
        <w:rPr>
          <w:b w:val="1"/>
          <w:bCs w:val="1"/>
        </w:rPr>
        <w:t xml:space="preserve">Référentiel(s) utilisé(s)</w:t>
      </w:r>
    </w:p>
    <w:p>
      <w:pPr/>
      <w:r>
        <w:rPr/>
        <w:t xml:space="preserve">référentiel espèces FAO</w:t>
      </w:r>
      <w:br/>
      <w:r>
        <w:rPr/>
        <w:t xml:space="preserve">référentiel engins FAO</w:t>
      </w:r>
      <w:br/>
      <w:r>
        <w:rPr/>
        <w:t xml:space="preserve">référentiel spatial CIEM</w:t>
      </w:r>
    </w:p>
    <w:p>
      <w:pPr/>
      <w:r>
        <w:rPr>
          <w:b w:val="1"/>
          <w:bCs w:val="1"/>
        </w:rPr>
        <w:t xml:space="preserve">Base(s) de données utilisée(s)</w:t>
      </w:r>
    </w:p>
    <w:p>
      <w:pPr/>
      <w:r>
        <w:rPr/>
        <w:t xml:space="preserve">Harmonie - SIH - données SACROIS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Production par marée par espèce par année</w:t>
      </w:r>
    </w:p>
    <w:p>
      <w:pPr/>
      <w:r>
        <w:rPr>
          <w:b w:val="1"/>
          <w:bCs w:val="1"/>
        </w:rPr>
        <w:t xml:space="preserve">Stratégie spatiale</w:t>
      </w:r>
    </w:p>
    <w:p>
      <w:pPr/>
      <w:r>
        <w:rPr/>
        <w:t xml:space="preserve">Les productions par marée par espèce et par année sont calculées à l'échelle de l'AMP dans son ensemble. </w:t>
      </w:r>
      <w:br/>
      <w:r>
        <w:rPr/>
        <w:t xml:space="preserve">Pour des socks inféodés et inégalement répartis sur la zone d'étude, il est possible de calculer ces productions à l'échelle du rectangle ou du sous-rectangle pour avoir une vision plus précise de la répartition spatiale des productions.</w:t>
      </w:r>
    </w:p>
    <w:p>
      <w:pPr/>
      <w:r>
        <w:rPr>
          <w:b w:val="1"/>
          <w:bCs w:val="1"/>
        </w:rPr>
        <w:t xml:space="preserve">Stratégie temporelle</w:t>
      </w:r>
    </w:p>
    <w:p>
      <w:pPr/>
      <w:r>
        <w:rPr/>
        <w:t xml:space="preserve">Les productions par marée et par espèce sont calculées annuellement. </w:t>
      </w:r>
    </w:p>
    <w:p>
      <w:pPr/>
      <w:r>
        <w:rPr>
          <w:b w:val="1"/>
          <w:bCs w:val="1"/>
        </w:rPr>
        <w:t xml:space="preserve">Moyens humains et matériels</w:t>
      </w:r>
    </w:p>
    <w:p>
      <w:pPr/>
      <w:r>
        <w:rPr/>
        <w:t xml:space="preserve">1 chargé de mission</w:t>
      </w:r>
      <w:br/>
      <w:r>
        <w:rPr/>
        <w:t xml:space="preserve">optionnel : scripts d'analyse R permettant d'automatiser les calculs.</w:t>
      </w:r>
    </w:p>
    <w:p>
      <w:pPr/>
      <w:r>
        <w:rPr>
          <w:b w:val="1"/>
          <w:bCs w:val="1"/>
        </w:rPr>
        <w:t xml:space="preserve">Méthode de calcul</w:t>
      </w:r>
    </w:p>
    <w:p>
      <w:pPr/>
      <w:r>
        <w:rPr/>
        <w:t xml:space="preserve">Pour une visualisation complète des productions, celles-ci sont représentées sous forme de boîtes à moustaches (ou boxplot). Cette représentation a l'avantage de représenter la variabilité des productions sur l'année et non pas seulement des valeurs précises (médianes et/ou moyennes par exemple). Chaque boxplot représente la production par marée pour une espèce pour une année. La valeur moyenne est également rajoutée sur le graphique.</w:t>
      </w:r>
    </w:p>
    <w:p>
      <w:pPr/>
      <w:r>
        <w:rPr/>
        <w:t xml:space="preserve">La réalisation de ces calculs/représentations est faite grâce à un script R qui permet d'automatiser le calcul annuellement.</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L'indicateur est calculé à l'échelle de l'aire marine protégée. Pour des besoins plus fins, il est possible de réaliser le calcul de l'indicateur à l'échelle des secteurs statistiques.</w:t>
      </w:r>
    </w:p>
    <w:p>
      <w:pPr/>
      <w:r>
        <w:rPr>
          <w:color w:val="B79247"/>
          <w:sz w:val="22"/>
          <w:szCs w:val="22"/>
          <w:b w:val="1"/>
          <w:bCs w:val="1"/>
        </w:rPr>
        <w:t xml:space="preserve">Stratégie temporelle</w:t>
      </w:r>
    </w:p>
    <w:p>
      <w:pPr/>
      <w:r>
        <w:rPr/>
        <w:t xml:space="preserve">L'indicateur est calculé sur la série temporelle d'intérêt. L'indicateur étant basé sur l'étude d'une tendance, un recul de quelques années est intéressant pour pouvoir interpréter statistiquement les évolutions. Dans le cas de l'évaluation d'un document de gestion, il est intéressant de suivre l'évolution sur toute sa durée. </w:t>
      </w:r>
    </w:p>
    <w:p>
      <w:pPr/>
      <w:r>
        <w:rPr>
          <w:color w:val="B79247"/>
          <w:sz w:val="22"/>
          <w:szCs w:val="22"/>
          <w:b w:val="1"/>
          <w:bCs w:val="1"/>
        </w:rPr>
        <w:t xml:space="preserve">Moyens humains et matériels</w:t>
      </w:r>
    </w:p>
    <w:p>
      <w:pPr/>
      <w:r>
        <w:rPr/>
        <w:t xml:space="preserve">1 chargé de mission</w:t>
      </w:r>
      <w:br/>
      <w:r>
        <w:rPr/>
        <w:t xml:space="preserve">facultatif : logiciel R pour automatiser les calculs</w:t>
      </w:r>
    </w:p>
    <w:p>
      <w:pPr/>
      <w:r>
        <w:rPr>
          <w:color w:val="B79247"/>
          <w:sz w:val="22"/>
          <w:szCs w:val="22"/>
          <w:b w:val="1"/>
          <w:bCs w:val="1"/>
        </w:rPr>
        <w:t xml:space="preserve">Méthode de calcul</w:t>
      </w:r>
    </w:p>
    <w:p>
      <w:pPr/>
      <w:r>
        <w:rPr/>
        <w:t xml:space="preserve">L'indicateur s'intéresse aux tendances des productions par marée et par année sur l'ensemble de la période d'intérêt.</w:t>
      </w:r>
    </w:p>
    <w:p>
      <w:pPr/>
      <w:r>
        <w:rPr/>
        <w:t xml:space="preserve">Des tests statistiques sont réalisés pour confirmer que les tendances observées sont statistiquement représentatives. Pour faciliter cette interprétation, les calculs sont réalisés avec le logiciel R.</w:t>
      </w:r>
    </w:p>
    <w:p>
      <w:pPr/>
      <w:r>
        <w:rPr>
          <w:color w:val="B79247"/>
          <w:sz w:val="22"/>
          <w:szCs w:val="22"/>
          <w:b w:val="1"/>
          <w:bCs w:val="1"/>
        </w:rPr>
        <w:t xml:space="preserve">Lecture</w:t>
      </w:r>
    </w:p>
    <w:p>
      <w:pPr/>
      <w:r>
        <w:rPr/>
        <w:t xml:space="preserve">L'interprétation de cet indicateur se fait sur la base de l'étude des tendances sur le période.</w:t>
      </w:r>
    </w:p>
    <w:p>
      <w:pPr/>
      <w:r>
        <w:rPr/>
        <w:t xml:space="preserve">Il est important de prendre également en considération l'évolution de l'effort de pêche sur la même période. Des variables contextuelles peuvent également permettre de mieux interpréter les évolutions (ex : évaluation CIEM des stocks, évolution des tailles de captures, etc.)</w:t>
      </w:r>
    </w:p>
    <w:p>
      <w:pPr/>
      <w:r>
        <w:rPr>
          <w:color w:val="B79247"/>
          <w:sz w:val="22"/>
          <w:szCs w:val="22"/>
          <w:b w:val="1"/>
          <w:bCs w:val="1"/>
        </w:rPr>
        <w:t xml:space="preserve">Grille de lecture</w:t>
      </w:r>
    </w:p>
    <w:tbl>
      <w:tblGrid>
        <w:gridCol/>
        <w:gridCol/>
        <w:gridCol/>
        <w:gridCol/>
        <w:gridCol/>
        <w:gridCol/>
      </w:tblGrid>
      <w:tblPr>
        <w:tblW w:w="0" w:type="auto"/>
        <w:tblCellSpacing w:w="0" w:type="dxa"/>
        <w:tblLayout w:type="autofit"/>
        <w:tblBorders>
          <w:top w:val="single" w:sz="15"/>
          <w:left w:val="single" w:sz="15"/>
          <w:right w:val="single" w:sz="15"/>
          <w:bottom w:val="single" w:sz="15"/>
          <w:insideH w:val="single" w:sz="15"/>
          <w:insideV w:val="single" w:sz="15"/>
        </w:tblBorders>
      </w:tblPr>
      <w:tr>
        <w:trPr/>
        <w:tc>
          <w:tcPr>
            <w:noWrap/>
          </w:tcPr>
          <w:p>
            <w:pPr/>
            <w:r>
              <w:rPr/>
              <w:t xml:space="preserve"> </w:t>
            </w:r>
          </w:p>
        </w:tc>
        <w:tc>
          <w:tcPr>
            <w:shd w:val="clear" w:fill="red"/>
            <w:noWrap/>
          </w:tcPr>
          <w:p>
            <w:pPr/>
            <w:r>
              <w:rPr>
                <w:shd w:val="clear" w:fill="red"/>
              </w:rPr>
              <w:t xml:space="preserve">Très mauvais</w:t>
            </w:r>
          </w:p>
        </w:tc>
        <w:tc>
          <w:tcPr>
            <w:shd w:val="clear" w:fill="orange"/>
            <w:noWrap/>
          </w:tcPr>
          <w:p>
            <w:pPr/>
            <w:r>
              <w:rPr>
                <w:shd w:val="clear" w:fill="orange"/>
              </w:rPr>
              <w:t xml:space="preserve">Mauvais</w:t>
            </w:r>
          </w:p>
        </w:tc>
        <w:tc>
          <w:tcPr>
            <w:shd w:val="clear" w:fill="yellow"/>
            <w:noWrap/>
          </w:tcPr>
          <w:p>
            <w:pPr/>
            <w:r>
              <w:rPr>
                <w:shd w:val="clear" w:fill="yellow"/>
              </w:rPr>
              <w:t xml:space="preserve">Moyen</w:t>
            </w:r>
          </w:p>
        </w:tc>
        <w:tc>
          <w:tcPr>
            <w:shd w:val="clear" w:fill="green"/>
            <w:noWrap/>
          </w:tcPr>
          <w:p>
            <w:pPr/>
            <w:r>
              <w:rPr>
                <w:shd w:val="clear" w:fill="green"/>
              </w:rPr>
              <w:t xml:space="preserve">Bon</w:t>
            </w:r>
          </w:p>
        </w:tc>
        <w:tc>
          <w:tcPr>
            <w:shd w:val="clear" w:fill="dodgerblue"/>
            <w:noWrap/>
          </w:tcPr>
          <w:p>
            <w:pPr/>
            <w:r>
              <w:rPr>
                <w:shd w:val="clear" w:fill="dodgerblue"/>
              </w:rPr>
              <w:t xml:space="preserve">Très bon</w:t>
            </w:r>
          </w:p>
        </w:tc>
      </w:tr>
      <w:tr>
        <w:trPr/>
        <w:tc>
          <w:tcPr>
            <w:noWrap/>
          </w:tcPr>
          <w:p>
            <w:pPr/>
            <w:r>
              <w:rPr/>
              <w:t xml:space="preserve">Evolution de la production par espèce et par marée   </w:t>
            </w:r>
          </w:p>
        </w:tc>
        <w:tc>
          <w:tcPr>
            <w:shd w:val="clear" w:fill="red"/>
            <w:noWrap/>
          </w:tcPr>
          <w:p>
            <w:pPr/>
            <w:r>
              <w:rPr>
                <w:shd w:val="clear" w:fill="red"/>
              </w:rPr>
              <w:t xml:space="preserve">        /</w:t>
            </w:r>
          </w:p>
        </w:tc>
        <w:tc>
          <w:tcPr>
            <w:shd w:val="clear" w:fill="orange"/>
            <w:noWrap/>
          </w:tcPr>
          <w:p>
            <w:pPr/>
            <w:r>
              <w:rPr>
                <w:shd w:val="clear" w:fill="orange"/>
              </w:rPr>
              <w:t xml:space="preserve">   </w:t>
            </w:r>
            <w:r>
              <w:pict>
                <v:shape type="#_x0000_t75" stroked="f" style="width:48pt; height:48pt; margin-left:0pt; margin-top:0pt; mso-position-horizontal:left; mso-position-vertical:top; mso-position-horizontal-relative:char; mso-position-vertical-relative:line;">
                  <w10:wrap type="inline"/>
                  <v:imagedata r:id="rId7" o:title=""/>
                </v:shape>
              </w:pict>
            </w:r>
          </w:p>
        </w:tc>
        <w:tc>
          <w:tcPr>
            <w:shd w:val="clear" w:fill="yellow"/>
            <w:noWrap/>
          </w:tcPr>
          <w:p>
            <w:pPr/>
            <w:r>
              <w:rPr>
                <w:shd w:val="clear" w:fill="yellow"/>
              </w:rPr>
              <w:t xml:space="preserve"> </w:t>
            </w:r>
            <w:r>
              <w:pict>
                <v:shape type="#_x0000_t75" stroked="f" style="width:48pt; height:48pt; margin-left:0pt; margin-top:0pt; mso-position-horizontal:left; mso-position-vertical:top; mso-position-horizontal-relative:char; mso-position-vertical-relative:line;">
                  <w10:wrap type="inline"/>
                  <v:imagedata r:id="rId8" o:title=""/>
                </v:shape>
              </w:pict>
            </w:r>
          </w:p>
        </w:tc>
        <w:tc>
          <w:tcPr>
            <w:shd w:val="clear" w:fill="green"/>
            <w:noWrap/>
          </w:tcPr>
          <w:p>
            <w:pPr/>
            <w:r>
              <w:pict>
                <v:shape type="#_x0000_t75" stroked="f" style="width:48pt; height:48pt; margin-left:0pt; margin-top:0pt; mso-position-horizontal:left; mso-position-vertical:top; mso-position-horizontal-relative:char; mso-position-vertical-relative:line;">
                  <w10:wrap type="inline"/>
                  <v:imagedata r:id="rId9" o:title=""/>
                </v:shape>
              </w:pict>
            </w:r>
          </w:p>
        </w:tc>
        <w:tc>
          <w:tcPr>
            <w:shd w:val="clear" w:fill="dodgerblue"/>
            <w:noWrap/>
          </w:tcPr>
          <w:p>
            <w:pPr/>
            <w:r>
              <w:rPr>
                <w:shd w:val="clear" w:fill="dodgerblue"/>
              </w:rPr>
              <w:t xml:space="preserve">       /</w:t>
            </w:r>
          </w:p>
        </w:tc>
      </w:tr>
      <w:tr>
        <w:trPr/>
        <w:tc>
          <w:tcPr>
            <w:noWrap/>
          </w:tcPr>
          <w:p>
            <w:pPr/>
            <w:r>
              <w:rPr/>
              <w:t xml:space="preserve">Score</w:t>
            </w:r>
          </w:p>
        </w:tc>
        <w:tc>
          <w:tcPr>
            <w:shd w:val="clear" w:fill="red"/>
            <w:noWrap/>
          </w:tcPr>
          <w:p>
            <w:pPr/>
            <w:r>
              <w:rPr>
                <w:shd w:val="clear" w:fill="red"/>
              </w:rPr>
              <w:t xml:space="preserve">1</w:t>
            </w:r>
          </w:p>
        </w:tc>
        <w:tc>
          <w:tcPr>
            <w:shd w:val="clear" w:fill="orange"/>
            <w:noWrap/>
          </w:tcPr>
          <w:p>
            <w:pPr/>
            <w:r>
              <w:rPr>
                <w:shd w:val="clear" w:fill="orange"/>
              </w:rPr>
              <w:t xml:space="preserve">2</w:t>
            </w:r>
          </w:p>
        </w:tc>
        <w:tc>
          <w:tcPr>
            <w:shd w:val="clear" w:fill="yellow"/>
            <w:noWrap/>
          </w:tcPr>
          <w:p>
            <w:pPr/>
            <w:r>
              <w:rPr>
                <w:shd w:val="clear" w:fill="yellow"/>
              </w:rPr>
              <w:t xml:space="preserve">3</w:t>
            </w:r>
          </w:p>
        </w:tc>
        <w:tc>
          <w:tcPr>
            <w:shd w:val="clear" w:fill="green"/>
            <w:noWrap/>
          </w:tcPr>
          <w:p>
            <w:pPr/>
            <w:r>
              <w:rPr>
                <w:shd w:val="clear" w:fill="green"/>
              </w:rPr>
              <w:t xml:space="preserve">4</w:t>
            </w:r>
          </w:p>
        </w:tc>
        <w:tc>
          <w:tcPr>
            <w:shd w:val="clear" w:fill="dodgerblue"/>
            <w:noWrap/>
          </w:tcPr>
          <w:p>
            <w:pPr/>
            <w:r>
              <w:rPr>
                <w:shd w:val="clear" w:fill="dodgerblue"/>
              </w:rPr>
              <w:t xml:space="preserve">5</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 modification des techniques de pêche</w:t>
      </w:r>
      <w:br/>
      <w:r>
        <w:rPr/>
        <w:t xml:space="preserve">- modification des espèces ciblées</w:t>
      </w:r>
      <w:br/>
      <w:r>
        <w:rPr/>
        <w:t xml:space="preserve">- modification des réglementations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Données disponibles en routine avec un historique conséquent</w:t>
      </w:r>
    </w:p>
    <w:p>
      <w:pPr/>
      <w:r>
        <w:rPr/>
        <w:t xml:space="preserve">Applicables à toutes les espèces ciblées par la pêche professionnelle embarquée</w:t>
      </w:r>
    </w:p>
    <w:p>
      <w:pPr/>
      <w:r>
        <w:rPr/>
        <w:t xml:space="preserve"> </w:t>
      </w:r>
    </w:p>
    <w:p>
      <w:pPr/>
      <w:r>
        <w:rPr>
          <w:color w:val="B79247"/>
          <w:sz w:val="22"/>
          <w:szCs w:val="22"/>
          <w:b w:val="1"/>
          <w:bCs w:val="1"/>
        </w:rPr>
        <w:t xml:space="preserve">Principales limites</w:t>
      </w:r>
    </w:p>
    <w:p>
      <w:pPr/>
      <w:r>
        <w:rPr/>
        <w:t xml:space="preserve">N'intègre pas l'effort de pêche dans le calcul (temps de pêche et caractéristiques des engins)</w:t>
      </w:r>
    </w:p>
    <w:p>
      <w:pPr/>
      <w:r>
        <w:rPr/>
        <w:t xml:space="preserve">calcul de l'indicateur se fait l'année N sur les données N-1</w:t>
      </w:r>
    </w:p>
    <w:p>
      <w:pPr/>
      <w:r>
        <w:rPr/>
        <w:t xml:space="preserve"> </w:t>
      </w:r>
    </w:p>
    <w:p>
      <w:pPr/>
      <w:r>
        <w:rPr>
          <w:color w:val="B79247"/>
          <w:sz w:val="22"/>
          <w:szCs w:val="22"/>
          <w:b w:val="1"/>
          <w:bCs w:val="1"/>
        </w:rPr>
        <w:t xml:space="preserve">Pistes d'amélioration</w:t>
      </w:r>
    </w:p>
    <w:p>
      <w:pPr/>
      <w:r>
        <w:rPr/>
        <w:t xml:space="preserve">Calculer des captures par unité d'effort (CPUE) plutôt que des productions par marée pour intégrer l'effort de pêche</w:t>
      </w:r>
    </w:p>
    <w:p>
      <w:pPr/>
      <w:r>
        <w:rPr/>
        <w:t xml:space="preserve">Interpréter les tendances au regard des tendances de la pression de pêche</w:t>
      </w:r>
    </w:p>
    <w:p>
      <w:pPr/>
      <w:r>
        <w:rPr/>
        <w:t xml:space="preserve">Interpréter les tendances au regard des évolutions à l'échelle des stocks (principalement pour les espèces à large distribution)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2169F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2026-10-06T03:14:03+02:00</dcterms:created>
  <dcterms:modified xsi:type="dcterms:W3CDTF">2026-10-06T03:14:03+02:00</dcterms:modified>
</cp:coreProperties>
</file>

<file path=docProps/custom.xml><?xml version="1.0" encoding="utf-8"?>
<Properties xmlns="http://schemas.openxmlformats.org/officeDocument/2006/custom-properties" xmlns:vt="http://schemas.openxmlformats.org/officeDocument/2006/docPropsVTypes"/>
</file>