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Rejets des flottilles de pêche professionnelle</w:t>
      </w:r>
    </w:p>
    <w:p>
      <w:pPr/>
      <w:r>
        <w:rPr/>
        <w:t xml:space="preserve">Version du 22/09/2021 à 14:08:22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"Rejets des flottilles de pêche professionnelle" permet de connaître l’évolution des pratiques de rejets en mer d’espèces halieutiques non ciblées par les pêcheurs professionnels, pour une ou plusieurs flottilles d'intérêt particulier. Il s'intéresse au taux de rejets par rapport à la capture totale. L'objectif est de réduire de façon significative les rejets d’espèces halieutiques.</w:t>
      </w:r>
    </w:p>
    <w:p>
      <w:pPr/>
      <w:r>
        <w:rPr>
          <w:color w:val="B79247"/>
          <w:sz w:val="22"/>
          <w:szCs w:val="22"/>
          <w:b w:val="1"/>
          <w:bCs w:val="1"/>
        </w:rPr>
        <w:t xml:space="preserve">Objet évalué</w:t>
      </w:r>
    </w:p>
    <w:p>
      <w:pPr/>
      <w:r>
        <w:rPr/>
        <w:t xml:space="preserve">L'indicateur permet d'évaluer l'évolution de la quantité de rejets réalisés par la pêche professionnelle embarquée.</w:t>
      </w:r>
    </w:p>
    <w:p>
      <w:pPr/>
      <w:r>
        <w:rPr>
          <w:color w:val="B79247"/>
          <w:sz w:val="22"/>
          <w:szCs w:val="22"/>
          <w:b w:val="1"/>
          <w:bCs w:val="1"/>
        </w:rPr>
        <w:t xml:space="preserve">Finalité(s)</w:t>
      </w:r>
    </w:p>
    <w:p>
      <w:pPr/>
      <w:r>
        <w:rPr/>
        <w:t xml:space="preserve">F5. L’exploitation durable des ressources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écologique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Poids total des captures par opération de pêche</w:t>
      </w:r>
    </w:p>
    <w:p>
      <w:pPr/>
      <w:r>
        <w:rPr>
          <w:b w:val="1"/>
          <w:bCs w:val="1"/>
        </w:rPr>
        <w:t xml:space="preserve">Source des données</w:t>
      </w:r>
    </w:p>
    <w:p>
      <w:pPr/>
      <w:r>
        <w:rPr/>
        <w:t xml:space="preserve">Données collectées lors des observations embarquées réalisées à bord des navires de pêche professionnelle (ObsMer). Pour avoir une image suffisamment représentative à l'échelle de l'AMP, les observations du programme national ObsMer sont suréchantillonnées afin de couvrir un nombre de navires suffisamment représentatifs à cette échelle. </w:t>
      </w:r>
    </w:p>
    <w:p>
      <w:pPr/>
      <w:r>
        <w:rPr>
          <w:b w:val="1"/>
          <w:bCs w:val="1"/>
        </w:rPr>
        <w:t xml:space="preserve">Stratégie spatiale</w:t>
      </w:r>
    </w:p>
    <w:p>
      <w:pPr/>
      <w:r>
        <w:rPr/>
        <w:t xml:space="preserve">Données collectées à l'échelle de l'AMP ou de toutes zones d'intérêt.</w:t>
      </w:r>
    </w:p>
    <w:p>
      <w:pPr/>
      <w:r>
        <w:rPr>
          <w:b w:val="1"/>
          <w:bCs w:val="1"/>
        </w:rPr>
        <w:t xml:space="preserve">Stratégie temporelle</w:t>
      </w:r>
    </w:p>
    <w:p>
      <w:pPr/>
      <w:r>
        <w:rPr/>
        <w:t xml:space="preserve">Données collectées au cours de l'ensemble des opérations de pêche réalisées au cours d'une marée. Le nombre de marées à échantillonner pour chaque flottille est défini par un plan d'échantillonnage.</w:t>
      </w:r>
    </w:p>
    <w:p>
      <w:pPr/>
      <w:r>
        <w:rPr>
          <w:b w:val="1"/>
          <w:bCs w:val="1"/>
        </w:rPr>
        <w:t xml:space="preserve">Moyens humains et matériels</w:t>
      </w:r>
    </w:p>
    <w:p>
      <w:pPr/>
      <w:r>
        <w:rPr/>
        <w:t xml:space="preserve">un observateur embarqué, les formulaires de saisie des données à bord</w:t>
      </w:r>
    </w:p>
    <w:p>
      <w:pPr/>
      <w:r>
        <w:rPr>
          <w:b w:val="1"/>
          <w:bCs w:val="1"/>
        </w:rPr>
        <w:t xml:space="preserve">Protocole de récolte</w:t>
      </w:r>
    </w:p>
    <w:p>
      <w:pPr/>
      <w:r>
        <w:rPr/>
        <w:t xml:space="preserve">Les données sont collectées selon le protocole de collecte de données ObsMer du Système d'Informations Halieutiques (SIH) de l'Ifremer. Le protocole de collecte, ainsi que les formulaires de saisie de données sont disponibles ici : https://sih.ifremer.fr/Ressources/ObsMer</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Allegro - SIH (Ifremer)</w:t>
      </w:r>
    </w:p>
    <w:p>
      <w:pPr/>
      <w:r>
        <w:rPr>
          <w:b w:val="1"/>
          <w:bCs w:val="1"/>
        </w:rPr>
        <w:t xml:space="preserve">Précisions</w:t>
      </w:r>
    </w:p>
    <w:p>
      <w:pPr/>
      <w:r>
        <w:rPr/>
        <w:t xml:space="preserve">La collaboration avec l'Ifremer et la DPMA dans le cadre de la convention OFB/Ifremer/DPMA permet la mise à disposition des outils du SIH pour la collecte, la saisie et la bancarisation des données. </w:t>
      </w:r>
    </w:p>
    <w:p>
      <w:pPr/>
      <w:r>
        <w:rPr>
          <w:color w:val="B79247"/>
          <w:sz w:val="22"/>
          <w:szCs w:val="22"/>
          <w:b w:val="1"/>
          <w:bCs w:val="1"/>
        </w:rPr>
        <w:t xml:space="preserve">Poids total des rejets par opération de pêche</w:t>
      </w:r>
    </w:p>
    <w:p>
      <w:pPr/>
      <w:r>
        <w:rPr>
          <w:b w:val="1"/>
          <w:bCs w:val="1"/>
        </w:rPr>
        <w:t xml:space="preserve">Source des données</w:t>
      </w:r>
    </w:p>
    <w:p>
      <w:pPr/>
      <w:r>
        <w:rPr/>
        <w:t xml:space="preserve">Données collectées lors des observations embarquées réalisées à bord des navires de pêche professionnelle (ObsMer). Pour avoir une image suffisamment représentative à l'échelle de l'AMP, les observations du programme national ObsMer sont suréchantillonnées afin de couvrir un nombre de navires suffisamment représentatifs à cette échelle. </w:t>
      </w:r>
    </w:p>
    <w:p>
      <w:pPr/>
      <w:r>
        <w:rPr>
          <w:b w:val="1"/>
          <w:bCs w:val="1"/>
        </w:rPr>
        <w:t xml:space="preserve">Stratégie spatiale</w:t>
      </w:r>
    </w:p>
    <w:p>
      <w:pPr/>
      <w:r>
        <w:rPr/>
        <w:t xml:space="preserve">Données collectées à l'échelle de l'AMP ou de toutes zones d'intérêt.</w:t>
      </w:r>
    </w:p>
    <w:p>
      <w:pPr/>
      <w:r>
        <w:rPr>
          <w:b w:val="1"/>
          <w:bCs w:val="1"/>
        </w:rPr>
        <w:t xml:space="preserve">Stratégie temporelle</w:t>
      </w:r>
    </w:p>
    <w:p>
      <w:pPr/>
      <w:r>
        <w:rPr/>
        <w:t xml:space="preserve">Données collectées au cours de l'ensemble des opérations de pêche réalisées au cours d'une marée. Le nombre de marées à échantillonner pour chaque flottille est défini par un plan d'échantillonnage.</w:t>
      </w:r>
    </w:p>
    <w:p>
      <w:pPr/>
      <w:r>
        <w:rPr>
          <w:b w:val="1"/>
          <w:bCs w:val="1"/>
        </w:rPr>
        <w:t xml:space="preserve">Moyens humains et matériels</w:t>
      </w:r>
    </w:p>
    <w:p>
      <w:pPr/>
      <w:r>
        <w:rPr/>
        <w:t xml:space="preserve">un observateur embarqué, les formulaires de saisie des données à bord</w:t>
      </w:r>
    </w:p>
    <w:p>
      <w:pPr/>
      <w:r>
        <w:rPr>
          <w:b w:val="1"/>
          <w:bCs w:val="1"/>
        </w:rPr>
        <w:t xml:space="preserve">Protocole de récolte</w:t>
      </w:r>
    </w:p>
    <w:p>
      <w:pPr>
        <w:spacing w:after="195"/>
      </w:pPr>
      <w:r>
        <w:rPr/>
        <w:t xml:space="preserve">Les données sont collectées selon le protocole de collecte de données ObsMer du Système d'Informations Halieutiques (SIH) de l'Ifremer. Le protocole de collecte, ainsi que les formulaires de saisie de données sont disponibles ici : https://sih.ifremer.fr/Ressources/ObsMer</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br/>
    </w:p>
    <w:p>
      <w:pPr/>
      <w:r>
        <w:rPr>
          <w:b w:val="1"/>
          <w:bCs w:val="1"/>
        </w:rPr>
        <w:t xml:space="preserve">Base(s) de données utilisée(s)</w:t>
      </w:r>
    </w:p>
    <w:p>
      <w:pPr/>
      <w:r>
        <w:rPr/>
        <w:t xml:space="preserve">Allegro - SIH (Ifremer)</w:t>
      </w:r>
    </w:p>
    <w:p>
      <w:pPr/>
      <w:r>
        <w:rPr>
          <w:b w:val="1"/>
          <w:bCs w:val="1"/>
        </w:rPr>
        <w:t xml:space="preserve">Précisions</w:t>
      </w:r>
    </w:p>
    <w:p>
      <w:pPr/>
      <w:r>
        <w:rPr/>
        <w:t xml:space="preserve">La collaboration avec l'Ifremer et la DPMA dans le cadre de la convention OFB/Ifremer/DPMA permet la mise à disposition des outils du SIH pour la collecte, la saisie et la bancarisation des données.</w:t>
      </w:r>
    </w:p>
    <w:p>
      <w:pPr/>
      <w:r>
        <w:rPr>
          <w:color w:val="0087a5"/>
          <w:sz w:val="26"/>
          <w:szCs w:val="26"/>
          <w:b w:val="1"/>
          <w:bCs w:val="1"/>
          <w:caps w:val="0"/>
        </w:rPr>
        <w:t xml:space="preserve">Métriques</w:t>
      </w:r>
    </w:p>
    <w:p>
      <w:pPr/>
      <w:r>
        <w:rPr>
          <w:color w:val="B79247"/>
          <w:sz w:val="22"/>
          <w:szCs w:val="22"/>
          <w:b w:val="1"/>
          <w:bCs w:val="1"/>
        </w:rPr>
        <w:t xml:space="preserve">Taux de rejets</w:t>
      </w:r>
    </w:p>
    <w:p>
      <w:pPr/>
      <w:r>
        <w:rPr>
          <w:b w:val="1"/>
          <w:bCs w:val="1"/>
        </w:rPr>
        <w:t xml:space="preserve">Stratégie spatiale</w:t>
      </w:r>
    </w:p>
    <w:p>
      <w:pPr/>
      <w:r>
        <w:rPr/>
        <w:t xml:space="preserve">Données analysées à l'échelle de l'AMP ou de toutes zones d'intérêt.</w:t>
      </w:r>
    </w:p>
    <w:p>
      <w:pPr/>
      <w:r>
        <w:rPr>
          <w:b w:val="1"/>
          <w:bCs w:val="1"/>
        </w:rPr>
        <w:t xml:space="preserve">Stratégie temporelle</w:t>
      </w:r>
    </w:p>
    <w:p>
      <w:pPr/>
      <w:r>
        <w:rPr/>
        <w:t xml:space="preserve">Selon la durée des observations réalisées, le taux de rejet peut être calculé par mois, trimestre, année ou toute durée intermédiaire.</w:t>
      </w:r>
    </w:p>
    <w:p>
      <w:pPr/>
      <w:r>
        <w:rPr>
          <w:b w:val="1"/>
          <w:bCs w:val="1"/>
        </w:rPr>
        <w:t xml:space="preserve">Moyens humains et matériels</w:t>
      </w:r>
    </w:p>
    <w:p>
      <w:pPr/>
      <w:r>
        <w:rPr/>
        <w:t xml:space="preserve">un statisticien, l'accès aux données déclaratives de l'ensemble des pêcheurs actifs dans la zone d'étude sur la durée concernée par les embarquements</w:t>
      </w:r>
    </w:p>
    <w:p>
      <w:pPr/>
      <w:r>
        <w:rPr>
          <w:b w:val="1"/>
          <w:bCs w:val="1"/>
        </w:rPr>
        <w:t xml:space="preserve">Méthode de calcul</w:t>
      </w:r>
    </w:p>
    <w:p>
      <w:pPr/>
      <w:r>
        <w:rPr/>
        <w:t xml:space="preserve">Le poids des rejets est rapporté au poids des captures total pour calculer un taux de rejet par opération de pêche.</w:t>
      </w:r>
    </w:p>
    <w:p>
      <w:pPr/>
      <w:r>
        <w:rPr/>
        <w:t xml:space="preserve">Les taux de rejet sont calculés pour l'ensemble des opérations de pêche pour obtenir un taux de rejet moyen observé.</w:t>
      </w:r>
    </w:p>
    <w:p>
      <w:pPr/>
      <w:r>
        <w:rPr/>
        <w:t xml:space="preserve">Afin d'avoir une image représentative à l'échelle de l'ensemble des marées réalisées par les pêcheurs actifs dans la zone d'étude (AMP ou autres), les données observées sont élevées sur la base des déclarations de pêche des pêcheurs sur la même période.</w:t>
      </w:r>
    </w:p>
    <w:p>
      <w:pPr/>
      <w:r>
        <w:rPr/>
        <w:t xml:space="preserve">Selon les besoins, ces analyses peuvent se faire à différentes échelles temporelles et être plus ou moins précises (calcul par engin, voire par métier).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Indicateur calculé à l'échelle de l'AMP ou de toutes zones d'intérêt.</w:t>
      </w:r>
    </w:p>
    <w:p>
      <w:pPr/>
      <w:r>
        <w:rPr>
          <w:color w:val="B79247"/>
          <w:sz w:val="22"/>
          <w:szCs w:val="22"/>
          <w:b w:val="1"/>
          <w:bCs w:val="1"/>
        </w:rPr>
        <w:t xml:space="preserve">Stratégie temporelle</w:t>
      </w:r>
    </w:p>
    <w:p>
      <w:pPr/>
      <w:r>
        <w:rPr/>
        <w:t xml:space="preserve">L'indicateur se basant sur l'évolution du taux de rejet, un certain recul dans le temps est nécessaire pour étudier la représentativité statistique de l'évolution sur des périodes similaires (mois, trimestre, année ou toute durée intermédiaire).</w:t>
      </w:r>
    </w:p>
    <w:p>
      <w:pPr/>
      <w:r>
        <w:rPr>
          <w:color w:val="B79247"/>
          <w:sz w:val="22"/>
          <w:szCs w:val="22"/>
          <w:b w:val="1"/>
          <w:bCs w:val="1"/>
        </w:rPr>
        <w:t xml:space="preserve">Moyens humains et matériels</w:t>
      </w:r>
    </w:p>
    <w:p>
      <w:pPr/>
      <w:r>
        <w:rPr/>
        <w:t xml:space="preserve">statisticien</w:t>
      </w:r>
    </w:p>
    <w:p>
      <w:pPr/>
      <w:r>
        <w:rPr>
          <w:color w:val="B79247"/>
          <w:sz w:val="22"/>
          <w:szCs w:val="22"/>
          <w:b w:val="1"/>
          <w:bCs w:val="1"/>
        </w:rPr>
        <w:t xml:space="preserve">Méthode de calcul</w:t>
      </w:r>
    </w:p>
    <w:p>
      <w:pPr/>
      <w:r>
        <w:rPr/>
        <w:t xml:space="preserve">L'indicateur se calcule sur l'étude des tendances par tests statistiques sur une période donnée.</w:t>
      </w:r>
    </w:p>
    <w:p>
      <w:pPr/>
      <w:r>
        <w:rPr>
          <w:color w:val="B79247"/>
          <w:sz w:val="22"/>
          <w:szCs w:val="22"/>
          <w:b w:val="1"/>
          <w:bCs w:val="1"/>
        </w:rPr>
        <w:t xml:space="preserve">Lecture</w:t>
      </w:r>
    </w:p>
    <w:p>
      <w:pPr/>
      <w:r>
        <w:rPr/>
        <w:t xml:space="preserve">L'indicateur s'interprète en fonction de l'évolution au cours du temps. Pour que l'interprétation soit interprétable, il est nécessaire d'avoir un nombre d'itérations suffisants (grand minimum 3), plus le nombre d'itérations sera important, plus l'évaluation de la tendance sera fiable.</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Evolution du taux de rejets     </w:t>
            </w:r>
          </w:p>
        </w:tc>
        <w:tc>
          <w:tcPr>
            <w:shd w:val="clear" w:fill="red"/>
            <w:noWrap/>
          </w:tcPr>
          <w:p>
            <w:pPr/>
            <w:r>
              <w:rPr>
                <w:shd w:val="clear" w:fill="red"/>
              </w:rPr>
              <w:t xml:space="preserve">/</w:t>
            </w:r>
          </w:p>
        </w:tc>
        <w:tc>
          <w:tcPr>
            <w:shd w:val="clear" w:fill="orange"/>
            <w:noWrap/>
          </w:tcPr>
          <w:p>
            <w:pPr/>
            <w:r>
              <w:pict>
                <v:shape type="#_x0000_t75" stroked="f" style="width:48pt; height:48pt; margin-left:0pt; margin-top:0pt; mso-position-horizontal:left; mso-position-vertical:top; mso-position-horizontal-relative:char; mso-position-vertical-relative:line;">
                  <w10:wrap type="inline"/>
                  <v:imagedata r:id="rId7" o:title=""/>
                </v:shape>
              </w:pict>
            </w:r>
          </w:p>
        </w:tc>
        <w:tc>
          <w:tcPr>
            <w:shd w:val="clear" w:fill="yellow"/>
            <w:noWrap/>
          </w:tcPr>
          <w:p>
            <w:pPr/>
            <w:r>
              <w:pict>
                <v:shape type="#_x0000_t75" stroked="f" style="width:48pt; height:48pt; margin-left:0pt; margin-top:0pt; mso-position-horizontal:left; mso-position-vertical:top; mso-position-horizontal-relative:char; mso-position-vertical-relative:line;">
                  <w10:wrap type="inline"/>
                  <v:imagedata r:id="rId8" o:title=""/>
                </v:shape>
              </w:pict>
            </w:r>
          </w:p>
        </w:tc>
        <w:tc>
          <w:tcPr>
            <w:shd w:val="clear" w:fill="green"/>
            <w:noWrap/>
          </w:tcPr>
          <w:p>
            <w:pPr/>
            <w:r>
              <w:pict>
                <v:shape type="#_x0000_t75" stroked="f" style="width:48pt; height:48pt; margin-left:0pt; margin-top:0pt; mso-position-horizontal:left; mso-position-vertical:top; mso-position-horizontal-relative:char; mso-position-vertical-relative:line;">
                  <w10:wrap type="inline"/>
                  <v:imagedata r:id="rId9" o:title=""/>
                </v:shape>
              </w:pict>
            </w:r>
          </w:p>
        </w:tc>
        <w:tc>
          <w:tcPr>
            <w:shd w:val="clear" w:fill="dodgerblue"/>
            <w:noWrap/>
          </w:tcPr>
          <w:p>
            <w:pPr/>
            <w:r>
              <w:rPr>
                <w:shd w:val="clear" w:fill="dodgerblue"/>
              </w:rPr>
              <w:t xml:space="preserve">/</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modifications des engins de pêche</w:t>
      </w:r>
      <w:br/>
      <w:r>
        <w:rPr/>
        <w:t xml:space="preserve">- modifications des réglementations</w:t>
      </w:r>
      <w:br/>
      <w:r>
        <w:rPr/>
        <w:t xml:space="preserve">- modifications des espèces ciblées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indicateur robuste</w:t>
      </w:r>
    </w:p>
    <w:p>
      <w:pPr/>
      <w:r>
        <w:rPr/>
        <w:t xml:space="preserve">- protocole, saisie et analyse de données éprouvées depuis longtemps au niveau national</w:t>
      </w:r>
    </w:p>
    <w:p>
      <w:pPr/>
      <w:r>
        <w:rPr>
          <w:color w:val="B79247"/>
          <w:sz w:val="22"/>
          <w:szCs w:val="22"/>
          <w:b w:val="1"/>
          <w:bCs w:val="1"/>
        </w:rPr>
        <w:t xml:space="preserve">Principales limites</w:t>
      </w:r>
    </w:p>
    <w:p>
      <w:pPr/>
      <w:r>
        <w:rPr/>
        <w:t xml:space="preserve">- grandes quantités de données nécessaires</w:t>
      </w:r>
    </w:p>
    <w:p>
      <w:pPr/>
      <w:r>
        <w:rPr/>
        <w:t xml:space="preserve">- collecte de données coûteuse et chronophage</w:t>
      </w:r>
    </w:p>
    <w:p>
      <w:pPr/>
      <w:r>
        <w:rPr/>
        <w:t xml:space="preserve">- repose sur le volontariat des pêcheurs pour la réalisation des embarquements</w:t>
      </w:r>
    </w:p>
    <w:p>
      <w:pPr/>
      <w:r>
        <w:rPr/>
        <w:t xml:space="preserve"> </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2026-10-06T03:10:20+02:00</dcterms:created>
  <dcterms:modified xsi:type="dcterms:W3CDTF">2026-10-06T03:10:20+02:00</dcterms:modified>
</cp:coreProperties>
</file>

<file path=docProps/custom.xml><?xml version="1.0" encoding="utf-8"?>
<Properties xmlns="http://schemas.openxmlformats.org/officeDocument/2006/custom-properties" xmlns:vt="http://schemas.openxmlformats.org/officeDocument/2006/docPropsVTypes"/>
</file>