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Polyvalence de l'activité des navires de pêche professionnelle</w:t>
      </w:r>
    </w:p>
    <w:p>
      <w:pPr/>
      <w:r>
        <w:rPr/>
        <w:t xml:space="preserve">Version du 27/09/2021 à 08:33:27</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rPr>
          <w:color w:val="0087a5"/>
          <w:sz w:val="26"/>
          <w:szCs w:val="26"/>
          <w:b w:val="1"/>
          <w:bCs w:val="1"/>
          <w:caps w:val="0"/>
        </w:rPr>
        <w:t xml:space="preserve">Définitions et objectifs</w:t>
      </w:r>
    </w:p>
    <w:p>
      <w:pPr>
        <w:jc w:val="both"/>
      </w:pPr>
      <w:r>
        <w:rPr/>
        <w:t xml:space="preserve">L’indicateur "polyvalence de l'activité des navires de pêche professionnelle" permet de caractériser la capacité de la flotte de pêche à surmonter les difficultés (crises conjoncturelles, absence de l'espèce ciblée, réglementation) en pratiquant différentes activités de pêche sur l'année afin de s'adapter au contexte. Il est calculé toutes flottilles confondues.</w:t>
      </w:r>
    </w:p>
    <w:p>
      <w:pPr>
        <w:jc w:val="both"/>
      </w:pPr>
      <w:r>
        <w:rPr/>
        <w:t xml:space="preserve">L’objectif est de favoriser la polyvalence des navires afin que les pêcheurs soient capables de s’adapter à la saisonnalité ou au cours (évolution des prix) des espèces.</w:t>
      </w:r>
    </w:p>
    <w:p>
      <w:pPr/>
      <w:r>
        <w:rPr>
          <w:color w:val="B79247"/>
          <w:sz w:val="22"/>
          <w:szCs w:val="22"/>
          <w:b w:val="1"/>
          <w:bCs w:val="1"/>
        </w:rPr>
        <w:t xml:space="preserve">Objet évalué</w:t>
      </w:r>
    </w:p>
    <w:p>
      <w:pPr/>
      <w:r>
        <w:rPr/>
        <w:t xml:space="preserve">L'indice permet d'évaluer la capacité du pêcheur à s'adapter en pratiquant plusieurs métiers de pêche différents.</w:t>
      </w:r>
    </w:p>
    <w:p>
      <w:pPr/>
      <w:r>
        <w:rPr>
          <w:color w:val="B79247"/>
          <w:sz w:val="22"/>
          <w:szCs w:val="22"/>
          <w:b w:val="1"/>
          <w:bCs w:val="1"/>
        </w:rPr>
        <w:t xml:space="preserve">Finalité(s)</w:t>
      </w:r>
    </w:p>
    <w:p>
      <w:pPr/>
      <w:r>
        <w:rPr/>
        <w:t xml:space="preserve">F6. Le développement durable des usages</w:t>
      </w:r>
    </w:p>
    <w:p>
      <w:pPr/>
      <w:r>
        <w:rPr>
          <w:color w:val="B79247"/>
          <w:sz w:val="22"/>
          <w:szCs w:val="22"/>
          <w:b w:val="1"/>
          <w:bCs w:val="1"/>
        </w:rPr>
        <w:t xml:space="preserve">Déclinaison locale des finalités</w:t>
      </w:r>
    </w:p>
    <w:p>
      <w:pPr/>
      <w:r>
        <w:rPr/>
        <w:t xml:space="preserve">PNMI : </w:t>
      </w:r>
    </w:p>
    <w:p>
      <w:pPr/>
      <w:r>
        <w:rPr>
          <w:color w:val="B79247"/>
          <w:sz w:val="22"/>
          <w:szCs w:val="22"/>
          <w:b w:val="1"/>
          <w:bCs w:val="1"/>
        </w:rPr>
        <w:t xml:space="preserve">Thème(s)</w:t>
      </w:r>
    </w:p>
    <w:p>
      <w:pPr/>
      <w:r>
        <w:rPr/>
        <w:t xml:space="preserve">Usages &gt; Aspect social</w:t>
      </w:r>
      <w:br/>
      <w:r>
        <w:rPr/>
        <w:t xml:space="preserve">Usages &gt; Aspect économique</w:t>
      </w:r>
      <w:br/>
      <w:r>
        <w:rPr/>
        <w:t xml:space="preserve">Usages &gt; Pêche et aquaculture</w:t>
      </w:r>
    </w:p>
    <w:p>
      <w:pPr/>
      <w:r>
        <w:rPr>
          <w:color w:val="B79247"/>
          <w:sz w:val="22"/>
          <w:szCs w:val="22"/>
          <w:b w:val="1"/>
          <w:bCs w:val="1"/>
        </w:rPr>
        <w:t xml:space="preserve">Réglementation</w:t>
      </w:r>
    </w:p>
    <w:p>
      <w:pPr/>
      <w:r>
        <w:rPr/>
        <w:t xml:space="preserve">DCF [Data Collection Framework]</w:t>
      </w:r>
    </w:p>
    <w:p>
      <w:pPr/>
      <w:r>
        <w:rPr>
          <w:color w:val="B79247"/>
          <w:sz w:val="22"/>
          <w:szCs w:val="22"/>
          <w:b w:val="1"/>
          <w:bCs w:val="1"/>
        </w:rPr>
        <w:t xml:space="preserve">Ecorégion</w:t>
      </w:r>
    </w:p>
    <w:p>
      <w:pPr/>
      <w:r>
        <w:rPr/>
        <w:t xml:space="preserve">Océan mondial</w:t>
      </w:r>
    </w:p>
    <w:p>
      <w:pPr/>
      <w:r>
        <w:rPr>
          <w:color w:val="B79247"/>
          <w:sz w:val="22"/>
          <w:szCs w:val="22"/>
          <w:b w:val="1"/>
          <w:bCs w:val="1"/>
        </w:rPr>
        <w:t xml:space="preserve">DPSIR</w:t>
      </w:r>
    </w:p>
    <w:p>
      <w:pPr/>
      <w:r>
        <w:rPr/>
        <w:t xml:space="preserve">Forces motrices</w:t>
      </w:r>
    </w:p>
    <w:p>
      <w:pPr/>
      <w:r>
        <w:rPr>
          <w:color w:val="B79247"/>
          <w:sz w:val="22"/>
          <w:szCs w:val="22"/>
          <w:b w:val="1"/>
          <w:bCs w:val="1"/>
        </w:rPr>
        <w:t xml:space="preserve">Référence principale</w:t>
      </w:r>
    </w:p>
    <w:p>
      <w:pPr/>
      <w:r>
        <w:rPr/>
        <w:t xml:space="preserve">Daures F., Frangoudes K., Alban F., 2010, Propositions d’indicateurs économiques, sociaux et de gouvernance de la pêche professionnelle côtière – Application au Parc Naturel Marin de l’Iroise , Ifremer - UMR AMURE, Université de Brest - UMR AMURE, Brest, 33p.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Métiers pratiqués par navires au cours d'une année</w:t>
      </w:r>
    </w:p>
    <w:p>
      <w:pPr/>
      <w:r>
        <w:rPr>
          <w:b w:val="1"/>
          <w:bCs w:val="1"/>
        </w:rPr>
        <w:t xml:space="preserve">Source des données</w:t>
      </w:r>
    </w:p>
    <w:p>
      <w:pPr/>
      <w:r>
        <w:rPr/>
        <w:t xml:space="preserve">calendriers d'activités (SIH/Ifremer) : ce sont des données exhaustives collectées par le réseau des observateurs du SIH (Système d'Informations Halieutiques) auprès des patrons de pêche et de leurs représentants professionnels et recensant leurs activités de pêche (métiers, zones de pêche) sur une base mensuelle. Les calendriers d’activité renseignent l’ensemble des métiers pratiqués par mois ainsi que les deux zones de pêche principales associées à chaque métier (source : Ifremer et cofinancement DPMA)</w:t>
      </w:r>
    </w:p>
    <w:p>
      <w:pPr/>
      <w:r>
        <w:rPr>
          <w:b w:val="1"/>
          <w:bCs w:val="1"/>
        </w:rPr>
        <w:t xml:space="preserve">Stratégie spatiale</w:t>
      </w:r>
    </w:p>
    <w:p>
      <w:pPr/>
      <w:r>
        <w:rPr/>
        <w:t xml:space="preserve">à l'échelle des rectangles statistiques CIEM</w:t>
      </w:r>
    </w:p>
    <w:p>
      <w:pPr/>
      <w:r>
        <w:rPr>
          <w:b w:val="1"/>
          <w:bCs w:val="1"/>
        </w:rPr>
        <w:t xml:space="preserve">Stratégie temporelle</w:t>
      </w:r>
    </w:p>
    <w:p>
      <w:pPr/>
      <w:r>
        <w:rPr/>
        <w:t xml:space="preserve">annuelle</w:t>
      </w:r>
    </w:p>
    <w:p>
      <w:pPr/>
      <w:r>
        <w:rPr>
          <w:b w:val="1"/>
          <w:bCs w:val="1"/>
        </w:rPr>
        <w:t xml:space="preserve">Moyens humains et matériels</w:t>
      </w:r>
    </w:p>
    <w:p>
      <w:pPr/>
      <w:r>
        <w:rPr/>
        <w:t xml:space="preserve">un enquêteur du SIH (Ifremer)</w:t>
      </w:r>
    </w:p>
    <w:p>
      <w:pPr/>
      <w:r>
        <w:rPr>
          <w:b w:val="1"/>
          <w:bCs w:val="1"/>
        </w:rPr>
        <w:t xml:space="preserve">Protocole de récolte</w:t>
      </w:r>
    </w:p>
    <w:p>
      <w:pPr/>
      <w:r>
        <w:rPr/>
        <w:t xml:space="preserve">Les données sont collectées par le réseau des observateurs du SIH et suivent le protocoles de collecte des données disponibles sur le site du SIH : https://sih.ifremer.fr/Activite-socio-economie/Activite-des-navires</w:t>
      </w:r>
    </w:p>
    <w:p>
      <w:pPr/>
      <w:r>
        <w:rPr>
          <w:b w:val="1"/>
          <w:bCs w:val="1"/>
        </w:rPr>
        <w:t xml:space="preserve">Référentiel(s) utilisé(s)</w:t>
      </w:r>
    </w:p>
    <w:p>
      <w:pPr/>
      <w:r>
        <w:rPr/>
        <w:t xml:space="preserve">référentiel métiers FAO</w:t>
      </w:r>
      <w:br/>
      <w:r>
        <w:rPr/>
        <w:t xml:space="preserve">référentiel spatial FAO</w:t>
      </w:r>
    </w:p>
    <w:p>
      <w:pPr/>
      <w:r>
        <w:rPr>
          <w:b w:val="1"/>
          <w:bCs w:val="1"/>
        </w:rPr>
        <w:t xml:space="preserve">Base(s) de données utilisée(s)</w:t>
      </w:r>
    </w:p>
    <w:p>
      <w:pPr/>
      <w:r>
        <w:rPr/>
        <w:t xml:space="preserve">Harmonie - SIH/Ifremer</w:t>
      </w:r>
    </w:p>
    <w:p>
      <w:pPr/>
      <w:r>
        <w:rPr>
          <w:b w:val="1"/>
          <w:bCs w:val="1"/>
        </w:rPr>
        <w:t xml:space="preserve">Précisions</w:t>
      </w:r>
    </w:p>
    <w:p>
      <w:pPr/>
      <w:r>
        <w:rPr/>
        <w:t xml:space="preserve">Les données des calendriers d'activités sont mobilisées pour le calcul de l'indicateur dans le cadre d'une convention OFB/Ifremer/DPMA</w:t>
      </w:r>
    </w:p>
    <w:p>
      <w:pPr/>
      <w:r>
        <w:rPr>
          <w:color w:val="0087a5"/>
          <w:sz w:val="26"/>
          <w:szCs w:val="26"/>
          <w:b w:val="1"/>
          <w:bCs w:val="1"/>
          <w:caps w:val="0"/>
        </w:rPr>
        <w:t xml:space="preserve">Métriques</w:t>
      </w:r>
    </w:p>
    <w:p>
      <w:pPr/>
      <w:r>
        <w:rPr>
          <w:color w:val="B79247"/>
          <w:sz w:val="22"/>
          <w:szCs w:val="22"/>
          <w:b w:val="1"/>
          <w:bCs w:val="1"/>
        </w:rPr>
        <w:t xml:space="preserve">Nombre de métiers pratiqués par navire et par an</w:t>
      </w:r>
    </w:p>
    <w:p>
      <w:pPr/>
      <w:r>
        <w:rPr>
          <w:b w:val="1"/>
          <w:bCs w:val="1"/>
        </w:rPr>
        <w:t xml:space="preserve">Stratégie spatiale</w:t>
      </w:r>
    </w:p>
    <w:p>
      <w:pPr/>
      <w:r>
        <w:rPr/>
        <w:t xml:space="preserve">Toutes zones CIEM confondues</w:t>
      </w:r>
    </w:p>
    <w:p>
      <w:pPr/>
      <w:r>
        <w:rPr>
          <w:b w:val="1"/>
          <w:bCs w:val="1"/>
        </w:rPr>
        <w:t xml:space="preserve">Stratégie temporelle</w:t>
      </w:r>
    </w:p>
    <w:p>
      <w:pPr/>
      <w:r>
        <w:rPr/>
        <w:t xml:space="preserve">Le nombre de métiers pratiqués se calcule sur une base annuelle</w:t>
      </w:r>
    </w:p>
    <w:p>
      <w:pPr/>
      <w:r>
        <w:rPr>
          <w:b w:val="1"/>
          <w:bCs w:val="1"/>
        </w:rPr>
        <w:t xml:space="preserve">Moyens humains et matériels</w:t>
      </w:r>
    </w:p>
    <w:p>
      <w:pPr/>
      <w:r>
        <w:rPr/>
        <w:t xml:space="preserve">un chargé de mission, logiciel R (non obligatoire)</w:t>
      </w:r>
    </w:p>
    <w:p>
      <w:pPr/>
      <w:r>
        <w:rPr>
          <w:b w:val="1"/>
          <w:bCs w:val="1"/>
        </w:rPr>
        <w:t xml:space="preserve">Méthode de calcul</w:t>
      </w:r>
    </w:p>
    <w:p>
      <w:pPr/>
      <w:r>
        <w:rPr/>
        <w:t xml:space="preserve">Sur la base des enquêtes d'activités, il suffit de sommer, pour chaque navire, le nombre de métiers différents pratiqués sur une année.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t xml:space="preserve">A l'échelle de l'ensemble des zones CIEM</w:t>
      </w:r>
    </w:p>
    <w:p>
      <w:pPr/>
      <w:r>
        <w:rPr>
          <w:color w:val="B79247"/>
          <w:sz w:val="22"/>
          <w:szCs w:val="22"/>
          <w:b w:val="1"/>
          <w:bCs w:val="1"/>
        </w:rPr>
        <w:t xml:space="preserve">Stratégie temporelle</w:t>
      </w:r>
    </w:p>
    <w:p>
      <w:pPr/>
      <w:r>
        <w:rPr/>
        <w:t xml:space="preserve">indicateur calculé annuellement</w:t>
      </w:r>
    </w:p>
    <w:p>
      <w:pPr/>
      <w:r>
        <w:rPr>
          <w:color w:val="B79247"/>
          <w:sz w:val="22"/>
          <w:szCs w:val="22"/>
          <w:b w:val="1"/>
          <w:bCs w:val="1"/>
        </w:rPr>
        <w:t xml:space="preserve">Moyens humains et matériels</w:t>
      </w:r>
    </w:p>
    <w:p>
      <w:pPr/>
      <w:r>
        <w:rPr/>
        <w:t xml:space="preserve">un chargé de mission, logiciel R (non obligatoire)</w:t>
      </w:r>
    </w:p>
    <w:p>
      <w:pPr/>
      <w:r>
        <w:rPr>
          <w:color w:val="B79247"/>
          <w:sz w:val="22"/>
          <w:szCs w:val="22"/>
          <w:b w:val="1"/>
          <w:bCs w:val="1"/>
        </w:rPr>
        <w:t xml:space="preserve">Méthode de calcul</w:t>
      </w:r>
    </w:p>
    <w:p>
      <w:pPr/>
      <w:r>
        <w:rPr/>
        <w:t xml:space="preserve">Sur la base de l'ensemble des navires actifs dans l'AMP (ou sur une portion des navires considérés comme représentatifs), calcul de la moyenne annuelle du nombre de métiers pratiqués par ces navires au cours de l'année.</w:t>
      </w:r>
    </w:p>
    <w:p>
      <w:pPr/>
      <w:r>
        <w:rPr>
          <w:color w:val="B79247"/>
          <w:sz w:val="22"/>
          <w:szCs w:val="22"/>
          <w:b w:val="1"/>
          <w:bCs w:val="1"/>
        </w:rPr>
        <w:t xml:space="preserve">Lecture</w:t>
      </w:r>
    </w:p>
    <w:p>
      <w:pPr/>
      <w:r>
        <w:rPr/>
        <w:t xml:space="preserve">L'interprétation de l'indicateur se fait selon une grille de lecture basé sur des seuils définis à dire d'experts.</w:t>
      </w:r>
    </w:p>
    <w:p>
      <w:pPr/>
      <w:r>
        <w:rPr>
          <w:color w:val="B79247"/>
          <w:sz w:val="22"/>
          <w:szCs w:val="22"/>
          <w:b w:val="1"/>
          <w:bCs w:val="1"/>
        </w:rPr>
        <w:t xml:space="preserve">Grille de lecture</w:t>
      </w:r>
    </w:p>
    <w:tbl>
      <w:tblGrid>
        <w:gridCol/>
        <w:gridCol/>
        <w:gridCol/>
        <w:gridCol/>
        <w:gridCol/>
        <w:gridCol/>
      </w:tblGrid>
      <w:tblPr>
        <w:tblW w:w="0" w:type="auto"/>
        <w:tblCellSpacing w:w="0" w:type="dxa"/>
        <w:tblLayout w:type="autofit"/>
        <w:tblBorders>
          <w:top w:val="single" w:sz="15"/>
          <w:left w:val="single" w:sz="15"/>
          <w:right w:val="single" w:sz="15"/>
          <w:bottom w:val="single" w:sz="15"/>
          <w:insideH w:val="single" w:sz="15"/>
          <w:insideV w:val="single" w:sz="15"/>
        </w:tblBorders>
      </w:tblPr>
      <w:tr>
        <w:trPr/>
        <w:tc>
          <w:tcPr>
            <w:noWrap/>
          </w:tcPr>
          <w:p>
            <w:pPr/>
            <w:r>
              <w:rPr/>
              <w:t xml:space="preserve"> </w:t>
            </w:r>
          </w:p>
        </w:tc>
        <w:tc>
          <w:tcPr>
            <w:shd w:val="clear" w:fill="red"/>
            <w:noWrap/>
          </w:tcPr>
          <w:p>
            <w:pPr/>
            <w:r>
              <w:rPr>
                <w:shd w:val="clear" w:fill="red"/>
              </w:rPr>
              <w:t xml:space="preserve">Très mauvais</w:t>
            </w:r>
          </w:p>
        </w:tc>
        <w:tc>
          <w:tcPr>
            <w:shd w:val="clear" w:fill="orange"/>
            <w:noWrap/>
          </w:tcPr>
          <w:p>
            <w:pPr/>
            <w:r>
              <w:rPr>
                <w:shd w:val="clear" w:fill="orange"/>
              </w:rPr>
              <w:t xml:space="preserve">Mauvais</w:t>
            </w:r>
          </w:p>
        </w:tc>
        <w:tc>
          <w:tcPr>
            <w:shd w:val="clear" w:fill="yellow"/>
            <w:noWrap/>
          </w:tcPr>
          <w:p>
            <w:pPr/>
            <w:r>
              <w:rPr>
                <w:shd w:val="clear" w:fill="yellow"/>
              </w:rPr>
              <w:t xml:space="preserve">Moyen</w:t>
            </w:r>
          </w:p>
        </w:tc>
        <w:tc>
          <w:tcPr>
            <w:shd w:val="clear" w:fill="green"/>
            <w:noWrap/>
          </w:tcPr>
          <w:p>
            <w:pPr/>
            <w:r>
              <w:rPr>
                <w:shd w:val="clear" w:fill="green"/>
              </w:rPr>
              <w:t xml:space="preserve">Bon</w:t>
            </w:r>
          </w:p>
        </w:tc>
        <w:tc>
          <w:tcPr>
            <w:shd w:val="clear" w:fill="dodgerblue"/>
            <w:noWrap/>
          </w:tcPr>
          <w:p>
            <w:pPr/>
            <w:r>
              <w:rPr>
                <w:shd w:val="clear" w:fill="dodgerblue"/>
              </w:rPr>
              <w:t xml:space="preserve">Très bon</w:t>
            </w:r>
          </w:p>
        </w:tc>
      </w:tr>
      <w:tr>
        <w:trPr/>
        <w:tc>
          <w:tcPr>
            <w:noWrap/>
          </w:tcPr>
          <w:p>
            <w:pPr/>
            <w:r>
              <w:rPr/>
              <w:t xml:space="preserve">Polyvalence des navires de pêche professionnelle    </w:t>
            </w:r>
          </w:p>
        </w:tc>
        <w:tc>
          <w:tcPr>
            <w:shd w:val="clear" w:fill="red"/>
            <w:noWrap/>
          </w:tcPr>
          <w:p>
            <w:pPr/>
            <w:r>
              <w:rPr>
                <w:shd w:val="clear" w:fill="red"/>
              </w:rPr>
              <w:t xml:space="preserve">  1 métier</w:t>
            </w:r>
          </w:p>
        </w:tc>
        <w:tc>
          <w:tcPr>
            <w:shd w:val="clear" w:fill="orange"/>
            <w:noWrap/>
          </w:tcPr>
          <w:p>
            <w:pPr/>
            <w:r>
              <w:rPr>
                <w:shd w:val="clear" w:fill="orange"/>
              </w:rPr>
              <w:t xml:space="preserve"> ]1-2] métiers   </w:t>
            </w:r>
          </w:p>
        </w:tc>
        <w:tc>
          <w:tcPr>
            <w:shd w:val="clear" w:fill="yellow"/>
            <w:noWrap/>
          </w:tcPr>
          <w:p>
            <w:pPr/>
            <w:r>
              <w:rPr>
                <w:shd w:val="clear" w:fill="yellow"/>
              </w:rPr>
              <w:t xml:space="preserve">  ]2-3] métiers   </w:t>
            </w:r>
          </w:p>
        </w:tc>
        <w:tc>
          <w:tcPr>
            <w:shd w:val="clear" w:fill="green"/>
            <w:noWrap/>
          </w:tcPr>
          <w:p>
            <w:pPr/>
            <w:r>
              <w:rPr>
                <w:shd w:val="clear" w:fill="green"/>
              </w:rPr>
              <w:t xml:space="preserve">  ]3–4] métiers   </w:t>
            </w:r>
          </w:p>
        </w:tc>
        <w:tc>
          <w:tcPr>
            <w:shd w:val="clear" w:fill="dodgerblue"/>
            <w:noWrap/>
          </w:tcPr>
          <w:p>
            <w:pPr/>
            <w:r>
              <w:rPr>
                <w:shd w:val="clear" w:fill="dodgerblue"/>
              </w:rPr>
              <w:t xml:space="preserve">  &gt; 4 métiers    </w:t>
            </w:r>
          </w:p>
        </w:tc>
      </w:tr>
      <w:tr>
        <w:trPr/>
        <w:tc>
          <w:tcPr>
            <w:noWrap/>
          </w:tcPr>
          <w:p>
            <w:pPr/>
            <w:r>
              <w:rPr/>
              <w:t xml:space="preserve">Score</w:t>
            </w:r>
          </w:p>
        </w:tc>
        <w:tc>
          <w:tcPr>
            <w:shd w:val="clear" w:fill="red"/>
            <w:noWrap/>
          </w:tcPr>
          <w:p>
            <w:pPr/>
            <w:r>
              <w:rPr>
                <w:shd w:val="clear" w:fill="red"/>
              </w:rPr>
              <w:t xml:space="preserve">1</w:t>
            </w:r>
          </w:p>
        </w:tc>
        <w:tc>
          <w:tcPr>
            <w:shd w:val="clear" w:fill="orange"/>
            <w:noWrap/>
          </w:tcPr>
          <w:p>
            <w:pPr/>
            <w:r>
              <w:rPr>
                <w:shd w:val="clear" w:fill="orange"/>
              </w:rPr>
              <w:t xml:space="preserve">2</w:t>
            </w:r>
          </w:p>
        </w:tc>
        <w:tc>
          <w:tcPr>
            <w:shd w:val="clear" w:fill="yellow"/>
            <w:noWrap/>
          </w:tcPr>
          <w:p>
            <w:pPr/>
            <w:r>
              <w:rPr>
                <w:shd w:val="clear" w:fill="yellow"/>
              </w:rPr>
              <w:t xml:space="preserve">3</w:t>
            </w:r>
          </w:p>
        </w:tc>
        <w:tc>
          <w:tcPr>
            <w:shd w:val="clear" w:fill="green"/>
            <w:noWrap/>
          </w:tcPr>
          <w:p>
            <w:pPr/>
            <w:r>
              <w:rPr>
                <w:shd w:val="clear" w:fill="green"/>
              </w:rPr>
              <w:t xml:space="preserve">4</w:t>
            </w:r>
          </w:p>
        </w:tc>
        <w:tc>
          <w:tcPr>
            <w:shd w:val="clear" w:fill="dodgerblue"/>
            <w:noWrap/>
          </w:tcPr>
          <w:p>
            <w:pPr/>
            <w:r>
              <w:rPr>
                <w:shd w:val="clear" w:fill="dodgerblue"/>
              </w:rPr>
              <w:t xml:space="preserve">5</w:t>
            </w:r>
          </w:p>
        </w:tc>
      </w:tr>
    </w:tbl>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r>
        <w:rPr/>
        <w:t xml:space="preserve">- évolution de la réglementation</w:t>
      </w:r>
      <w:br/>
      <w:r>
        <w:rPr/>
        <w:t xml:space="preserve">- disponibilité des espèces cibles</w:t>
      </w:r>
      <w:b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Indicateur opérationnel</w:t>
      </w:r>
    </w:p>
    <w:p>
      <w:pPr/>
      <w:r>
        <w:rPr/>
        <w:t xml:space="preserve">Dans une AMP &gt; Iroise / Parc naturel marin</w:t>
      </w:r>
      <w:br/>
      <w:r>
        <w:rPr/>
        <w:t xml:space="preserve">Dans une AMP &gt; Mayotte / Parc naturel marin</w:t>
      </w:r>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Sensible et réactif à court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disponibles dans le cadre d’un suivi pérenne à une échelle spatio-temporelle adaptée</w:t>
      </w:r>
    </w:p>
    <w:p>
      <w:pPr/>
      <w:r>
        <w:rPr>
          <w:color w:val="B79247"/>
          <w:sz w:val="22"/>
          <w:szCs w:val="22"/>
          <w:b w:val="1"/>
          <w:bCs w:val="1"/>
        </w:rPr>
        <w:t xml:space="preserve">Facilement compréhensible pour le public visé</w:t>
      </w:r>
    </w:p>
    <w:p>
      <w:pPr/>
      <w:r>
        <w:rPr/>
        <w:t xml:space="preserve">Appropriation simple pour le non-spécialiste</w:t>
      </w:r>
    </w:p>
    <w:p>
      <w:pPr/>
      <w:r>
        <w:rPr>
          <w:color w:val="B79247"/>
          <w:sz w:val="22"/>
          <w:szCs w:val="22"/>
          <w:b w:val="1"/>
          <w:bCs w:val="1"/>
        </w:rPr>
        <w:t xml:space="preserve">Principaux avantages</w:t>
      </w:r>
    </w:p>
    <w:p>
      <w:pPr/>
      <w:r>
        <w:rPr/>
        <w:t xml:space="preserve">- données collectées dans le cadre du SIH (pas de collecte de données complémentaires)</w:t>
      </w:r>
    </w:p>
    <w:p>
      <w:pPr/>
      <w:r>
        <w:rPr/>
        <w:t xml:space="preserve">- indicateur simple à comprendre et à interpréter</w:t>
      </w:r>
    </w:p>
    <w:p>
      <w:pPr/>
      <w:r>
        <w:rPr/>
        <w:t xml:space="preserve">- indicateur comparable à des échelles supra</w:t>
      </w:r>
    </w:p>
    <w:p>
      <w:pPr/>
      <w:r>
        <w:rPr>
          <w:color w:val="B79247"/>
          <w:sz w:val="22"/>
          <w:szCs w:val="22"/>
          <w:b w:val="1"/>
          <w:bCs w:val="1"/>
        </w:rPr>
        <w:t xml:space="preserve">Principales limites</w:t>
      </w:r>
    </w:p>
    <w:p>
      <w:pPr/>
      <w:r>
        <w:rPr>
          <w:color w:val="B79247"/>
          <w:sz w:val="22"/>
          <w:szCs w:val="22"/>
          <w:b w:val="1"/>
          <w:bCs w:val="1"/>
        </w:rPr>
        <w:t xml:space="preserve">Pistes d'amélioration</w:t>
      </w:r>
    </w:p>
    <w:p>
      <w:pPr/>
      <w:r>
        <w:rPr/>
        <w:t xml:space="preserve">l'interprétation de l'indicateur pourrait coupler un seuil et une étude de l'évolution au cours du temps ou une comparaison avec les valeurs de l'indicateur à l'échelle de la façade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Elodie GAMP : elodie.gamp@ofb.gouv.fr</w:t>
      </w:r>
    </w:p>
    <w:p>
      <w:pPr/>
      <w:r>
        <w:rPr>
          <w:color w:val="B79247"/>
          <w:sz w:val="22"/>
          <w:szCs w:val="22"/>
          <w:b w:val="1"/>
          <w:bCs w:val="1"/>
        </w:rPr>
        <w:t xml:space="preserve">Contributeur(s)</w:t>
      </w:r>
    </w:p>
    <w:p>
      <w:pPr/>
      <w:r>
        <w:rPr/>
        <w:t xml:space="preserve">Elodie GAMP : elodie.gamp@ofb.gouv.fr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2026-07-07T02:30:11+02:00</dcterms:created>
  <dcterms:modified xsi:type="dcterms:W3CDTF">2026-07-07T02:30:11+02:00</dcterms:modified>
</cp:coreProperties>
</file>

<file path=docProps/custom.xml><?xml version="1.0" encoding="utf-8"?>
<Properties xmlns="http://schemas.openxmlformats.org/officeDocument/2006/custom-properties" xmlns:vt="http://schemas.openxmlformats.org/officeDocument/2006/docPropsVTypes"/>
</file>