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Durée des marées par flottille</w:t>
      </w:r>
    </w:p>
    <w:p>
      <w:pPr/>
      <w:r>
        <w:rPr/>
        <w:t xml:space="preserve">Version du 11/10/2021 à 10:23:11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"Durée des marées par flottille" doit permettre de caractériser, le niveau d'attractivité du métier de pêcheur.</w:t>
      </w:r>
    </w:p>
    <w:p>
      <w:pPr/>
      <w:r>
        <w:rPr/>
        <w:t xml:space="preserve">Il peut être complémentaire à plusieurs autres indicateurs qui évaluent le bien-être socio-économique des pêcheurs.</w:t>
      </w:r>
    </w:p>
    <w:p>
      <w:pPr/>
      <w:r>
        <w:rPr>
          <w:color w:val="B79247"/>
          <w:sz w:val="22"/>
          <w:szCs w:val="22"/>
          <w:b w:val="1"/>
          <w:bCs w:val="1"/>
        </w:rPr>
        <w:t xml:space="preserve">Objet évalué</w:t>
      </w:r>
    </w:p>
    <w:p>
      <w:pPr/>
      <w:r>
        <w:rPr/>
        <w:t xml:space="preserve">L'indicateur permet d'évaluer l'attractivité du métier de pêcheur professionnel d'un point de vue temps de travail.</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social</w:t>
      </w:r>
      <w:br/>
      <w:r>
        <w:rPr/>
        <w:t xml:space="preserve">Usages &gt; Pêche et aquaculture</w:t>
      </w:r>
    </w:p>
    <w:p>
      <w:pPr/>
      <w:r>
        <w:rPr>
          <w:color w:val="B79247"/>
          <w:sz w:val="22"/>
          <w:szCs w:val="22"/>
          <w:b w:val="1"/>
          <w:bCs w:val="1"/>
        </w:rPr>
        <w:t xml:space="preserve">Réglementation</w:t>
      </w:r>
    </w:p>
    <w:p>
      <w:pPr/>
      <w:r>
        <w:rPr/>
        <w:t xml:space="preserve">DCF [Data Collection Framework]</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Production individuelle déclarée par marée par navire</w:t>
      </w:r>
    </w:p>
    <w:p>
      <w:pPr/>
      <w:r>
        <w:rPr>
          <w:b w:val="1"/>
          <w:bCs w:val="1"/>
        </w:rPr>
        <w:t xml:space="preserve">Source des données</w:t>
      </w:r>
    </w:p>
    <w:p>
      <w:pPr/>
      <w:r>
        <w:rPr/>
        <w:t xml:space="preserve">Journaux de bord (log books) et fiches de pêche des navires de pêche professionnelle : données administratives regroupant les déclarations de captures et d'effort de pêche des pêcheurs professionnels, issues des journaux de bord pour les navires de 10 mètres et plus et des fiches de pêche pour les navires de moins de 10 mètres (source : DPMA).</w:t>
      </w:r>
      <w:br/>
      <w:r>
        <w:rPr/>
        <w:t xml:space="preserve">Ces déclarations sont réalisés par chaque pêcheur professionnel pour chaque sortie réalisée.</w:t>
      </w:r>
    </w:p>
    <w:p>
      <w:pPr/>
      <w:r>
        <w:rPr>
          <w:b w:val="1"/>
          <w:bCs w:val="1"/>
        </w:rPr>
        <w:t xml:space="preserve">Stratégie spatiale</w:t>
      </w:r>
    </w:p>
    <w:p>
      <w:pPr/>
      <w:r>
        <w:rPr/>
        <w:t xml:space="preserve">Les déclarations sont réalisées à l'échelle des rectangles ou des sous-rectangles CIEM. </w:t>
      </w:r>
    </w:p>
    <w:p>
      <w:pPr/>
      <w:r>
        <w:rPr>
          <w:b w:val="1"/>
          <w:bCs w:val="1"/>
        </w:rPr>
        <w:t xml:space="preserve">Stratégie temporelle</w:t>
      </w:r>
    </w:p>
    <w:p>
      <w:pPr/>
      <w:r>
        <w:rPr/>
        <w:t xml:space="preserve">Les déclarations de pêche sont réalisées à l'échelle de la marée, c'est à dire de l'action (ou des actions) de pêche qui ont eu lieu entre un départ et un retour au port.</w:t>
      </w:r>
    </w:p>
    <w:p>
      <w:pPr/>
      <w:r>
        <w:rPr>
          <w:b w:val="1"/>
          <w:bCs w:val="1"/>
        </w:rPr>
        <w:t xml:space="preserve">Moyens humains et matériels</w:t>
      </w:r>
    </w:p>
    <w:p>
      <w:pPr/>
      <w:r>
        <w:rPr/>
        <w:t xml:space="preserve">Les déclaration de pêche sont obligatoires pour les pêcheurs professionnels. Par conséquent, la récupération de ces données ne nécessitent pas de moyens particuliers. Seule une extraction des bases de données nationales est nécessaire. </w:t>
      </w:r>
      <w:br/>
      <w:r>
        <w:rPr/>
        <w:t xml:space="preserve">Cette extraction est réalisée par l'Ifremer dans le cadre d'une convention OFB-Ifremer-DPMA.</w:t>
      </w:r>
    </w:p>
    <w:p>
      <w:pPr/>
      <w:r>
        <w:rPr>
          <w:b w:val="1"/>
          <w:bCs w:val="1"/>
        </w:rPr>
        <w:t xml:space="preserve">Protocole de récolte</w:t>
      </w:r>
    </w:p>
    <w:p>
      <w:pPr/>
      <w:r>
        <w:rPr/>
        <w:t xml:space="preserve">L'extraction des données nécessaires est réalisée par l'Ifremer dans le cadre d'une convention OFB-Ifremer-DPMA.</w:t>
      </w:r>
    </w:p>
    <w:p>
      <w:pPr/>
      <w:r>
        <w:rPr/>
        <w:t xml:space="preserve">L'Ifremer fournit les données de productions à l'échelle spatiale la plus précise (niveau rectangle ou sous-rectangle) pour l'ensemble des marées réalisées au sein du périmètre de l'AMP et pour l'ensemble des espèces.</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Harmonie - SIH - données SACROIS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Durée des marées</w:t>
      </w:r>
    </w:p>
    <w:p>
      <w:pPr/>
      <w:r>
        <w:rPr>
          <w:b w:val="1"/>
          <w:bCs w:val="1"/>
        </w:rPr>
        <w:t xml:space="preserve">Stratégie spatiale</w:t>
      </w:r>
    </w:p>
    <w:p>
      <w:pPr/>
      <w:r>
        <w:rPr/>
        <w:t xml:space="preserve">La durée des marées est calculée pour les navires de pêche actifs dans le périmètre de l'AMP.</w:t>
      </w:r>
    </w:p>
    <w:p>
      <w:pPr/>
      <w:r>
        <w:rPr>
          <w:b w:val="1"/>
          <w:bCs w:val="1"/>
        </w:rPr>
        <w:t xml:space="preserve">Stratégie temporelle</w:t>
      </w:r>
    </w:p>
    <w:p>
      <w:pPr/>
      <w:r>
        <w:rPr/>
        <w:t xml:space="preserve">La durée des marées est calculée annuellement, pour l'année N, sur la base des données N-2.</w:t>
      </w:r>
    </w:p>
    <w:p>
      <w:pPr/>
      <w:r>
        <w:rPr>
          <w:b w:val="1"/>
          <w:bCs w:val="1"/>
        </w:rPr>
        <w:t xml:space="preserve">Moyens humains et matériels</w:t>
      </w:r>
    </w:p>
    <w:p>
      <w:pPr/>
      <w:r>
        <w:rPr/>
        <w:t xml:space="preserve">1 chargé de mission</w:t>
      </w:r>
      <w:br/>
      <w:r>
        <w:rPr/>
        <w:t xml:space="preserve">optionnel : scripts d'analyse R permettant d'automatiser les calculs.</w:t>
      </w:r>
    </w:p>
    <w:p>
      <w:pPr/>
      <w:r>
        <w:rPr>
          <w:b w:val="1"/>
          <w:bCs w:val="1"/>
        </w:rPr>
        <w:t xml:space="preserve">Méthode de calcul</w:t>
      </w:r>
    </w:p>
    <w:p>
      <w:pPr/>
      <w:r>
        <w:rPr/>
        <w:t xml:space="preserve">Sur la base des déclarations des pêcheurs (une déclaration par marée), est calculé, par flottille et pour chaque navire, la durée des marées moyenne sur l'année.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est calculé à l'échelle de l'aire marine protégée. </w:t>
      </w:r>
    </w:p>
    <w:p>
      <w:pPr/>
      <w:r>
        <w:rPr>
          <w:color w:val="B79247"/>
          <w:sz w:val="22"/>
          <w:szCs w:val="22"/>
          <w:b w:val="1"/>
          <w:bCs w:val="1"/>
        </w:rPr>
        <w:t xml:space="preserve">Stratégie temporelle</w:t>
      </w:r>
    </w:p>
    <w:p>
      <w:pPr/>
      <w:r>
        <w:rPr/>
        <w:t xml:space="preserve">L'indicateur est calculé annuellement ; pour l'année N sur la base des données de l'année N-2.</w:t>
      </w:r>
    </w:p>
    <w:p>
      <w:pPr/>
      <w:r>
        <w:rPr>
          <w:color w:val="B79247"/>
          <w:sz w:val="22"/>
          <w:szCs w:val="22"/>
          <w:b w:val="1"/>
          <w:bCs w:val="1"/>
        </w:rPr>
        <w:t xml:space="preserve">Moyens humains et matériels</w:t>
      </w:r>
    </w:p>
    <w:p>
      <w:pPr/>
      <w:r>
        <w:rPr/>
        <w:t xml:space="preserve">1 chargé de mission</w:t>
      </w:r>
      <w:br/>
      <w:r>
        <w:rPr/>
        <w:t xml:space="preserve">facultatif : logiciel R pour automatiser les calculs</w:t>
      </w:r>
    </w:p>
    <w:p>
      <w:pPr/>
      <w:r>
        <w:rPr>
          <w:color w:val="B79247"/>
          <w:sz w:val="22"/>
          <w:szCs w:val="22"/>
          <w:b w:val="1"/>
          <w:bCs w:val="1"/>
        </w:rPr>
        <w:t xml:space="preserve">Méthode de calcul</w:t>
      </w:r>
    </w:p>
    <w:p>
      <w:pPr/>
      <w:r>
        <w:rPr/>
        <w:t xml:space="preserve">L'indicateur s'intéresse à la valeur moyenne de la durée des marées et ce pour chaque flottille.</w:t>
      </w:r>
    </w:p>
    <w:p>
      <w:pPr/>
      <w:r>
        <w:rPr/>
        <w:t xml:space="preserve">Cette valeur moyenne est accompagnée du coefficient de variation qui permet d'avoir une informations sur la robustesse statistique de ces valeurs (variabilité au sein de la flottille).</w:t>
      </w:r>
    </w:p>
    <w:p>
      <w:pPr/>
      <w:r>
        <w:rPr>
          <w:color w:val="B79247"/>
          <w:sz w:val="22"/>
          <w:szCs w:val="22"/>
          <w:b w:val="1"/>
          <w:bCs w:val="1"/>
        </w:rPr>
        <w:t xml:space="preserve">Lecture</w:t>
      </w:r>
    </w:p>
    <w:p>
      <w:pPr/>
      <w:r>
        <w:rPr/>
        <w:t xml:space="preserve">L'indicateur s'intéresse à la tendance de la durée moyenne des marées au cours du temps.</w:t>
      </w:r>
    </w:p>
    <w:p>
      <w:pPr/>
      <w:r>
        <w:rPr/>
        <w:t xml:space="preserve">Les tendances sont étudiées en réalisant des tests statistiques pour s'assurer de leur significativité.</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tblBorders>
          <w:top w:val="single" w:sz="15"/>
          <w:left w:val="single" w:sz="15"/>
          <w:right w:val="single" w:sz="15"/>
          <w:bottom w:val="single" w:sz="15"/>
          <w:insideH w:val="single" w:sz="15"/>
          <w:insideV w:val="single" w:sz="15"/>
        </w:tblBorders>
      </w:tblPr>
      <w:tr>
        <w:trPr/>
        <w:tc>
          <w:tcPr>
            <w:noWrap/>
          </w:tcPr>
          <w:p>
            <w:pPr/>
            <w:r>
              <w:rPr/>
              <w:t xml:space="preserve"> </w:t>
            </w:r>
          </w:p>
        </w:tc>
        <w:tc>
          <w:tcPr>
            <w:shd w:val="clear" w:fill="red"/>
            <w:noWrap/>
          </w:tcPr>
          <w:p>
            <w:pPr/>
            <w:r>
              <w:rPr>
                <w:shd w:val="clear" w:fill="red"/>
              </w:rPr>
              <w:t xml:space="preserve">Très mauvais</w:t>
            </w:r>
          </w:p>
        </w:tc>
        <w:tc>
          <w:tcPr>
            <w:shd w:val="clear" w:fill="orange"/>
            <w:noWrap/>
          </w:tcPr>
          <w:p>
            <w:pPr/>
            <w:r>
              <w:rPr>
                <w:shd w:val="clear" w:fill="orange"/>
              </w:rPr>
              <w:t xml:space="preserve">Mauvais</w:t>
            </w:r>
          </w:p>
        </w:tc>
        <w:tc>
          <w:tcPr>
            <w:shd w:val="clear" w:fill="yellow"/>
            <w:noWrap/>
          </w:tcPr>
          <w:p>
            <w:pPr/>
            <w:r>
              <w:rPr>
                <w:shd w:val="clear" w:fill="yellow"/>
              </w:rPr>
              <w:t xml:space="preserve">Moyen</w:t>
            </w:r>
          </w:p>
        </w:tc>
        <w:tc>
          <w:tcPr>
            <w:shd w:val="clear" w:fill="green"/>
            <w:noWrap/>
          </w:tcPr>
          <w:p>
            <w:pPr/>
            <w:r>
              <w:rPr>
                <w:shd w:val="clear" w:fill="green"/>
              </w:rPr>
              <w:t xml:space="preserve">Bon</w:t>
            </w:r>
          </w:p>
        </w:tc>
        <w:tc>
          <w:tcPr>
            <w:shd w:val="clear" w:fill="dodgerblue"/>
            <w:noWrap/>
          </w:tcPr>
          <w:p>
            <w:pPr/>
            <w:r>
              <w:rPr>
                <w:shd w:val="clear" w:fill="dodgerblue"/>
              </w:rPr>
              <w:t xml:space="preserve">Très bon</w:t>
            </w:r>
          </w:p>
        </w:tc>
      </w:tr>
      <w:tr>
        <w:trPr/>
        <w:tc>
          <w:tcPr>
            <w:noWrap/>
          </w:tcPr>
          <w:p>
            <w:pPr/>
            <w:r>
              <w:rPr/>
              <w:t xml:space="preserve">  Durée moyenne des marées par flottille   </w:t>
            </w:r>
          </w:p>
        </w:tc>
        <w:tc>
          <w:tcPr>
            <w:shd w:val="clear" w:fill="red"/>
            <w:noWrap/>
          </w:tcPr>
          <w:p>
            <w:pPr/>
            <w:r>
              <w:rPr>
                <w:shd w:val="clear" w:fill="red"/>
              </w:rPr>
              <w:t xml:space="preserve">/</w:t>
            </w:r>
          </w:p>
        </w:tc>
        <w:tc>
          <w:tcPr>
            <w:shd w:val="clear" w:fill="orange"/>
            <w:noWrap/>
          </w:tcPr>
          <w:p>
            <w:pPr/>
            <w:r>
              <w:rPr>
                <w:shd w:val="clear" w:fill="orange"/>
              </w:rPr>
              <w:t xml:space="preserve">  augmente </w:t>
            </w:r>
          </w:p>
        </w:tc>
        <w:tc>
          <w:tcPr>
            <w:shd w:val="clear" w:fill="yellow"/>
            <w:noWrap/>
          </w:tcPr>
          <w:p>
            <w:pPr/>
            <w:r>
              <w:rPr>
                <w:shd w:val="clear" w:fill="yellow"/>
              </w:rPr>
              <w:t xml:space="preserve">  reste stable  </w:t>
            </w:r>
          </w:p>
        </w:tc>
        <w:tc>
          <w:tcPr>
            <w:shd w:val="clear" w:fill="green"/>
            <w:noWrap/>
          </w:tcPr>
          <w:p>
            <w:pPr/>
            <w:r>
              <w:rPr>
                <w:shd w:val="clear" w:fill="green"/>
              </w:rPr>
              <w:t xml:space="preserve">  diminue  </w:t>
            </w:r>
          </w:p>
        </w:tc>
        <w:tc>
          <w:tcPr>
            <w:shd w:val="clear" w:fill="dodgerblue"/>
            <w:noWrap/>
          </w:tcPr>
          <w:p>
            <w:pPr/>
            <w:r>
              <w:rPr>
                <w:shd w:val="clear" w:fill="dodgerblue"/>
              </w:rPr>
              <w:t xml:space="preserve">/</w:t>
            </w:r>
          </w:p>
        </w:tc>
      </w:tr>
      <w:tr>
        <w:trPr/>
        <w:tc>
          <w:tcPr>
            <w:noWrap/>
          </w:tcPr>
          <w:p>
            <w:pPr/>
            <w:r>
              <w:rPr/>
              <w:t xml:space="preserve">  Score</w:t>
            </w:r>
          </w:p>
        </w:tc>
        <w:tc>
          <w:tcPr>
            <w:shd w:val="clear" w:fill="red"/>
            <w:noWrap/>
          </w:tcPr>
          <w:p>
            <w:pPr/>
            <w:r>
              <w:rPr>
                <w:shd w:val="clear" w:fill="red"/>
              </w:rPr>
              <w:t xml:space="preserve">1</w:t>
            </w:r>
          </w:p>
        </w:tc>
        <w:tc>
          <w:tcPr>
            <w:shd w:val="clear" w:fill="orange"/>
            <w:noWrap/>
          </w:tcPr>
          <w:p>
            <w:pPr/>
            <w:r>
              <w:rPr>
                <w:shd w:val="clear" w:fill="orange"/>
              </w:rPr>
              <w:t xml:space="preserve">2</w:t>
            </w:r>
          </w:p>
        </w:tc>
        <w:tc>
          <w:tcPr>
            <w:shd w:val="clear" w:fill="yellow"/>
            <w:noWrap/>
          </w:tcPr>
          <w:p>
            <w:pPr/>
            <w:r>
              <w:rPr>
                <w:shd w:val="clear" w:fill="yellow"/>
              </w:rPr>
              <w:t xml:space="preserve">3</w:t>
            </w:r>
          </w:p>
        </w:tc>
        <w:tc>
          <w:tcPr>
            <w:shd w:val="clear" w:fill="green"/>
            <w:noWrap/>
          </w:tcPr>
          <w:p>
            <w:pPr/>
            <w:r>
              <w:rPr>
                <w:shd w:val="clear" w:fill="green"/>
              </w:rPr>
              <w:t xml:space="preserve">4</w:t>
            </w:r>
          </w:p>
        </w:tc>
        <w:tc>
          <w:tcPr>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diminution des stocks d'espèces cibles</w:t>
      </w:r>
      <w:br/>
      <w:r>
        <w:rPr/>
        <w:t xml:space="preserve">- déplacement géographique des espèces cibles</w:t>
      </w:r>
      <w:br/>
      <w:r>
        <w:rPr/>
        <w:t xml:space="preserve">- modification des stratégies de pêche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Données disponibles en routine avec un historique conséquent</w:t>
      </w:r>
    </w:p>
    <w:p>
      <w:pPr/>
      <w:r>
        <w:rPr/>
        <w:t xml:space="preserve">- Comparable à une échelle supra</w:t>
      </w:r>
    </w:p>
    <w:p>
      <w:pPr/>
      <w:r>
        <w:rPr>
          <w:color w:val="B79247"/>
          <w:sz w:val="22"/>
          <w:szCs w:val="22"/>
          <w:b w:val="1"/>
          <w:bCs w:val="1"/>
        </w:rPr>
        <w:t xml:space="preserve">Principales limites</w:t>
      </w:r>
    </w:p>
    <w:p>
      <w:pPr/>
      <w:r>
        <w:rPr/>
        <w:t xml:space="preserve">- calcul de l'indicateur se fait l'année N sur les données N-2</w:t>
      </w:r>
    </w:p>
    <w:p>
      <w:pPr/>
      <w:r>
        <w:rPr>
          <w:color w:val="B79247"/>
          <w:sz w:val="22"/>
          <w:szCs w:val="22"/>
          <w:b w:val="1"/>
          <w:bCs w:val="1"/>
        </w:rPr>
        <w:t xml:space="preserve">Pistes d'amélioration</w:t>
      </w:r>
    </w:p>
    <w:p>
      <w:pPr/>
      <w:r>
        <w:rPr/>
        <w:t xml:space="preserve">Des nouvelles réflexions autour des indicateurs économiques sont prévues dans le cadre de la révision du plan de gestion du PNMI.</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2026-07-07T02:29:47+02:00</dcterms:created>
  <dcterms:modified xsi:type="dcterms:W3CDTF">2026-07-07T02:29:47+02:00</dcterms:modified>
</cp:coreProperties>
</file>

<file path=docProps/custom.xml><?xml version="1.0" encoding="utf-8"?>
<Properties xmlns="http://schemas.openxmlformats.org/officeDocument/2006/custom-properties" xmlns:vt="http://schemas.openxmlformats.org/officeDocument/2006/docPropsVTypes"/>
</file>