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Vente optimale</w:t>
      </w:r>
    </w:p>
    <w:p>
      <w:pPr/>
      <w:r>
        <w:rPr/>
        <w:t xml:space="preserve">Version du 19/11/2021 à 09:01:19</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jc w:val="both"/>
      </w:pPr>
      <w:r>
        <w:rPr/>
        <w:t xml:space="preserve">L’indicateur vente optimale permet d’évaluer les bénéfices financiers réalisés par les armateurs pêchant dans les eaux de l'AMP en étudiant le niveau des prix moyens pratiqués et des taux de retrait pour les espèces d’importance au sein de l'AMP. </w:t>
      </w:r>
    </w:p>
    <w:p>
      <w:pPr>
        <w:jc w:val="both"/>
      </w:pPr>
      <w:r>
        <w:rPr/>
        <w:t xml:space="preserve">Dans le cas du PNMI, l'objectif est de voir le prix moyen des espèces emblématiques supérieur au prix moyen de ces espèces au niveau national et le taux de retrait de ces mêmes espèces inférieur au niveau national.</w:t>
      </w:r>
    </w:p>
    <w:p>
      <w:pPr/>
      <w:r>
        <w:rPr>
          <w:color w:val="B79247"/>
          <w:sz w:val="22"/>
          <w:szCs w:val="22"/>
          <w:b w:val="1"/>
          <w:bCs w:val="1"/>
        </w:rPr>
        <w:t xml:space="preserve">Objet évalué</w:t>
      </w:r>
    </w:p>
    <w:p>
      <w:pPr/>
      <w:r>
        <w:rPr/>
        <w:t xml:space="preserve">L’indicateur vente optimale permet d’évaluer les bénéfices financiers réalisés par les armateurs pêchant dans les eaux de l'AMP</w:t>
      </w:r>
    </w:p>
    <w:p>
      <w:pPr/>
      <w:r>
        <w:rPr>
          <w:color w:val="B79247"/>
          <w:sz w:val="22"/>
          <w:szCs w:val="22"/>
          <w:b w:val="1"/>
          <w:bCs w:val="1"/>
        </w:rPr>
        <w:t xml:space="preserve">Finalité(s)</w:t>
      </w:r>
    </w:p>
    <w:p>
      <w:pPr/>
      <w:r>
        <w:rPr/>
        <w:t xml:space="preserve">F5. L’exploitation durable des ressources</w:t>
      </w:r>
      <w:b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économique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Données de vente en criée - prix de vente et retrait des ventes en criée</w:t>
      </w:r>
    </w:p>
    <w:p>
      <w:pPr/>
      <w:r>
        <w:rPr>
          <w:b w:val="1"/>
          <w:bCs w:val="1"/>
        </w:rPr>
        <w:t xml:space="preserve">Source des données</w:t>
      </w:r>
    </w:p>
    <w:p>
      <w:pPr/>
      <w:r>
        <w:rPr/>
        <w:t xml:space="preserve">Données « Ventes » Ifremer - FranceAgriMer : </w:t>
      </w:r>
      <w:br/>
      <w:r>
        <w:rPr/>
        <w:t xml:space="preserve">- volume des débarquements par espèce et par lieu de vente</w:t>
      </w:r>
      <w:br/>
      <w:r>
        <w:rPr/>
        <w:t xml:space="preserve">- valeur des débarquements par espèce et par lieu de vente </w:t>
      </w:r>
      <w:br/>
      <w:br/>
      <w:r>
        <w:rPr/>
        <w:t xml:space="preserve">Ces données regroupent le détail des ventes réalisées en criée (uniquement, pas de données sur les ventes hors criée) par chacun des navires. A chaque vente pour un navire et une espèce, il est précisé le poids vendu, le prix de vente et si un retrait a eu lieu en précisant le type de retrait (retrait sanitaire ou retrait OP).</w:t>
      </w:r>
      <w:br/>
      <w:r>
        <w:rPr/>
        <w:t xml:space="preserve">Elles sont issues du Réseau Inter-Criées géré par FranceAgriMer (Etablissement national des produits de l'agriculture et de la mer). Ces données sont transmises à l’Ifremer par la Direction des Pêches Maritimes et de l’Aquaculture (DPMA) du Ministère de l’Agriculture et de la Pêche. </w:t>
      </w:r>
    </w:p>
    <w:p>
      <w:pPr/>
      <w:r>
        <w:rPr>
          <w:b w:val="1"/>
          <w:bCs w:val="1"/>
        </w:rPr>
        <w:t xml:space="preserve">Stratégie spatiale</w:t>
      </w:r>
    </w:p>
    <w:p>
      <w:pPr/>
      <w:r>
        <w:rPr/>
        <w:t xml:space="preserve">Les données de vente utilisées ne permettent pas de connaître le rectangle statistique dans lequel la capture a été effectuée. Pour les navires dépendant à plus de 75%, on considère que toutes les captures ont été effectuées dans le périmètre du Parc.</w:t>
      </w:r>
      <w:br/>
      <w:r>
        <w:rPr/>
        <w:t xml:space="preserve">Cette source de données ne permet donc pas un calcul précis pour les autres classes de dépendance.</w:t>
      </w:r>
      <w:br/>
      <w:br/>
      <w:r>
        <w:rPr/>
        <w:t xml:space="preserve">Pour affiner la précision géographique, un croisement entre les données de vente et les données déclaratives du pêcheur peuvent permettre de récupérer la localisation des captures.</w:t>
      </w:r>
    </w:p>
    <w:p>
      <w:pPr/>
      <w:r>
        <w:rPr>
          <w:b w:val="1"/>
          <w:bCs w:val="1"/>
        </w:rPr>
        <w:t xml:space="preserve">Stratégie temporelle</w:t>
      </w:r>
    </w:p>
    <w:p>
      <w:pPr/>
      <w:r>
        <w:rPr/>
        <w:t xml:space="preserve">Ces données sont enregistrées à chaque vente en criée.</w:t>
      </w:r>
    </w:p>
    <w:p>
      <w:pPr/>
      <w:r>
        <w:rPr>
          <w:b w:val="1"/>
          <w:bCs w:val="1"/>
        </w:rPr>
        <w:t xml:space="preserve">Moyens humains et matériels</w:t>
      </w:r>
    </w:p>
    <w:p>
      <w:pPr/>
      <w:r>
        <w:rPr/>
        <w:t xml:space="preserve">/</w:t>
      </w:r>
    </w:p>
    <w:p>
      <w:pPr/>
      <w:r>
        <w:rPr>
          <w:b w:val="1"/>
          <w:bCs w:val="1"/>
        </w:rPr>
        <w:t xml:space="preserve">Protocole de récolte</w:t>
      </w:r>
    </w:p>
    <w:p>
      <w:pPr>
        <w:jc w:val="both"/>
      </w:pPr>
      <w:r>
        <w:rPr/>
        <w:t xml:space="preserve">Ces données regroupent le détail des ventes réalisées en criée (uniquement, pas de données sur les ventes hors criée) par chacun des navires. A chaque vente pour un navire et une espèce, il est précisé le poids vendu, le prix de vente et si un retrait a eu lieu en précisant le type de retrait (retrait sanitaire ou retrait OP).</w:t>
      </w:r>
      <w:br/>
      <w:r>
        <w:rPr/>
        <w:t xml:space="preserve">Elles sont issues du Réseau Inter-Criées géré par FranceAgriMer (Etablissement national des produits de l'agriculture et de la mer). Ces données sont transmises à l’Ifremer par la Direction des Pêches Maritimes et de l’Aquaculture (DPMA) du Ministère de l’Agriculture et de la Pêche.</w:t>
      </w:r>
    </w:p>
    <w:p>
      <w:pPr>
        <w:jc w:val="both"/>
      </w:pPr>
      <w:r>
        <w:rPr/>
        <w:t xml:space="preserve">L’ensemble des données de ventes effectuées en criée pour les espèces d'importance pour l'AMP considérée sont récupérées. Pour le cas du PNMI, les données concernent : la daurade rose, le bar, le lieu jaune, la baudroie.</w:t>
      </w:r>
    </w:p>
    <w:p>
      <w:pPr>
        <w:jc w:val="both"/>
      </w:pPr>
      <w:r>
        <w:rPr/>
        <w:t xml:space="preserve">Ces données permettent de calculer le prix moyen de vente et le taux de retrait pour chaque espèce.</w:t>
      </w:r>
    </w:p>
    <w:p>
      <w:pPr/>
      <w:r>
        <w:rPr>
          <w:b w:val="1"/>
          <w:bCs w:val="1"/>
        </w:rPr>
        <w:t xml:space="preserve">Référentiel(s) utilisé(s)</w:t>
      </w:r>
    </w:p>
    <w:p>
      <w:pPr/>
      <w:r>
        <w:rPr/>
        <w:t xml:space="preserve">FAO - référentiel espèces</w:t>
      </w:r>
    </w:p>
    <w:p>
      <w:pPr/>
      <w:r>
        <w:rPr>
          <w:b w:val="1"/>
          <w:bCs w:val="1"/>
        </w:rPr>
        <w:t xml:space="preserve">Base(s) de données utilisée(s)</w:t>
      </w:r>
    </w:p>
    <w:p>
      <w:pPr/>
      <w:r>
        <w:rPr/>
        <w:t xml:space="preserve">Harmonie - SIH</w:t>
      </w:r>
    </w:p>
    <w:p>
      <w:pPr/>
      <w:r>
        <w:rPr>
          <w:b w:val="1"/>
          <w:bCs w:val="1"/>
        </w:rPr>
        <w:t xml:space="preserve">Précisions</w:t>
      </w:r>
    </w:p>
    <w:p>
      <w:pPr/>
      <w:r>
        <w:rPr/>
        <w:t xml:space="preserve">Ces données sont récupérées dans le cadre du partenariat OFB-Ifremer-DPMA</w:t>
      </w:r>
    </w:p>
    <w:p>
      <w:pPr/>
      <w:r>
        <w:rPr>
          <w:color w:val="0087a5"/>
          <w:sz w:val="26"/>
          <w:szCs w:val="26"/>
          <w:b w:val="1"/>
          <w:bCs w:val="1"/>
          <w:caps w:val="0"/>
        </w:rPr>
        <w:t xml:space="preserve">Métriques</w:t>
      </w:r>
    </w:p>
    <w:p>
      <w:pPr/>
      <w:r>
        <w:rPr>
          <w:color w:val="B79247"/>
          <w:sz w:val="22"/>
          <w:szCs w:val="22"/>
          <w:b w:val="1"/>
          <w:bCs w:val="1"/>
        </w:rPr>
        <w:t xml:space="preserve">Prix moyen de vente par espèce</w:t>
      </w:r>
    </w:p>
    <w:p>
      <w:pPr/>
      <w:r>
        <w:rPr>
          <w:b w:val="1"/>
          <w:bCs w:val="1"/>
        </w:rPr>
        <w:t xml:space="preserve">Stratégie spatiale</w:t>
      </w:r>
    </w:p>
    <w:p>
      <w:pPr/>
      <w:r>
        <w:rPr/>
        <w:t xml:space="preserve">A l'échelle de l'AMP</w:t>
      </w:r>
    </w:p>
    <w:p>
      <w:pPr/>
      <w:r>
        <w:rPr>
          <w:b w:val="1"/>
          <w:bCs w:val="1"/>
        </w:rPr>
        <w:t xml:space="preserve">Stratégie temporelle</w:t>
      </w:r>
    </w:p>
    <w:p>
      <w:pPr/>
      <w:r>
        <w:rPr/>
        <w:t xml:space="preserve">Annuel</w:t>
      </w:r>
    </w:p>
    <w:p>
      <w:pPr/>
      <w:r>
        <w:rPr>
          <w:b w:val="1"/>
          <w:bCs w:val="1"/>
        </w:rPr>
        <w:t xml:space="preserve">Moyens humains et matériels</w:t>
      </w:r>
    </w:p>
    <w:p>
      <w:pPr/>
      <w:r>
        <w:rPr/>
        <w:t xml:space="preserve">1 chargé de mission</w:t>
      </w:r>
      <w:br/>
      <w:r>
        <w:rPr/>
        <w:t xml:space="preserve">logiciel R (optionnel) pour automatiser le calcul</w:t>
      </w:r>
    </w:p>
    <w:p>
      <w:pPr/>
      <w:r>
        <w:rPr>
          <w:b w:val="1"/>
          <w:bCs w:val="1"/>
        </w:rPr>
        <w:t xml:space="preserve">Méthode de calcul</w:t>
      </w:r>
    </w:p>
    <w:p>
      <w:pPr>
        <w:jc w:val="both"/>
      </w:pPr>
      <w:r>
        <w:rPr/>
        <w:t xml:space="preserve">Pour chaque espèce, est calculé le prix de vente à deux échelles : </w:t>
      </w:r>
    </w:p>
    <w:p>
      <w:pPr>
        <w:jc w:val="both"/>
      </w:pPr>
      <w:r>
        <w:rPr/>
        <w:t xml:space="preserve">- pour les criées situées au sein du périmètre de l'AMP : la moyenne des prix pour chaque espèce est calculée</w:t>
      </w:r>
    </w:p>
    <w:p>
      <w:pPr>
        <w:jc w:val="both"/>
      </w:pPr>
      <w:r>
        <w:rPr/>
        <w:t xml:space="preserve">- pour l'ensemble des criées de la façade : calcul des 5 centiles délimitant 5 classes de prix de taille homogène. Ce sont les bornes permettant de construire la grille d’évaluation de la métrique.</w:t>
      </w:r>
    </w:p>
    <w:p>
      <w:pPr/>
      <w:r>
        <w:rPr>
          <w:u w:val="single"/>
        </w:rPr>
        <w:t xml:space="preserve">Remarque</w:t>
      </w:r>
      <w:r>
        <w:rPr/>
        <w:t xml:space="preserve"> : Calculer des centiles consiste à diviser des données ordonnées en q sous-jeux de données de dimension égale ; les centiles sont les valeurs de données marquant les limites entre deux sous-jeux consécutifs (exemple : Si on regarde la répartition des revenus de la population, on pourra par exemple calculer « le revenu moyen du 10ème centile », soit le revenu moyen des 10 % de gens qui gagnent le plus).</w:t>
      </w:r>
    </w:p>
    <w:p>
      <w:pPr/>
      <w:r>
        <w:rPr>
          <w:color w:val="B79247"/>
          <w:sz w:val="22"/>
          <w:szCs w:val="22"/>
          <w:b w:val="1"/>
          <w:bCs w:val="1"/>
        </w:rPr>
        <w:t xml:space="preserve">Taux de retrait pas espèce</w:t>
      </w:r>
    </w:p>
    <w:p>
      <w:pPr/>
      <w:r>
        <w:rPr>
          <w:b w:val="1"/>
          <w:bCs w:val="1"/>
        </w:rPr>
        <w:t xml:space="preserve">Stratégie spatiale</w:t>
      </w:r>
    </w:p>
    <w:p>
      <w:pPr/>
      <w:r>
        <w:rPr/>
        <w:t xml:space="preserve">A l'échelle de l'AMP</w:t>
      </w:r>
    </w:p>
    <w:p>
      <w:pPr/>
      <w:r>
        <w:rPr>
          <w:b w:val="1"/>
          <w:bCs w:val="1"/>
        </w:rPr>
        <w:t xml:space="preserve">Stratégie temporelle</w:t>
      </w:r>
    </w:p>
    <w:p>
      <w:pPr/>
      <w:r>
        <w:rPr/>
        <w:t xml:space="preserve">Annuel</w:t>
      </w:r>
    </w:p>
    <w:p>
      <w:pPr/>
      <w:r>
        <w:rPr>
          <w:b w:val="1"/>
          <w:bCs w:val="1"/>
        </w:rPr>
        <w:t xml:space="preserve">Moyens humains et matériels</w:t>
      </w:r>
    </w:p>
    <w:p>
      <w:pPr/>
      <w:r>
        <w:rPr/>
        <w:t xml:space="preserve">1 chargé de mission</w:t>
      </w:r>
      <w:br/>
      <w:r>
        <w:rPr/>
        <w:t xml:space="preserve">logiciel R (optionnel) pour l'automatisation des calculs</w:t>
      </w:r>
    </w:p>
    <w:p>
      <w:pPr/>
      <w:r>
        <w:rPr>
          <w:b w:val="1"/>
          <w:bCs w:val="1"/>
        </w:rPr>
        <w:t xml:space="preserve">Méthode de calcul</w:t>
      </w:r>
    </w:p>
    <w:p>
      <w:pPr>
        <w:jc w:val="both"/>
      </w:pPr>
      <w:r>
        <w:rPr/>
        <w:t xml:space="preserve">Pour chaque espèce, est calculé le taux de retrait à deux échelles : </w:t>
      </w:r>
    </w:p>
    <w:p>
      <w:pPr>
        <w:jc w:val="both"/>
      </w:pPr>
      <w:r>
        <w:rPr/>
        <w:t xml:space="preserve">- pour les criées situées au sein du périmètre de l'AMP : la moyenne des taux de retrait pour chaque espèce est calculée</w:t>
      </w:r>
    </w:p>
    <w:p>
      <w:pPr>
        <w:jc w:val="both"/>
      </w:pPr>
      <w:r>
        <w:rPr/>
        <w:t xml:space="preserve">- pour l'ensemble des criées de la façade : calcul des 5 centiles délimitant 5 classes de retrait de taille homogène. Ce sont les bornes permettant de construire la grille d’évaluation de la métrique.</w:t>
      </w:r>
    </w:p>
    <w:p>
      <w:pPr/>
      <w:r>
        <w:rPr>
          <w:u w:val="single"/>
        </w:rPr>
        <w:t xml:space="preserve">Remarque</w:t>
      </w:r>
      <w:r>
        <w:rPr/>
        <w:t xml:space="preserve"> : Calculer des centiles consiste à diviser des données ordonnées en q sous-jeux de données de dimension égale ; les centiles sont les valeurs de données marquant les limites entre deux sous-jeux consécutifs (exemple : Si on regarde la répartition des revenus de la population, on pourra par exemple calculer « le revenu moyen du 10ème centile », soit le revenu moyen des 10 % de gens qui gagnent le plus).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Annuel</w:t>
      </w:r>
    </w:p>
    <w:p>
      <w:pPr/>
      <w:r>
        <w:rPr>
          <w:color w:val="B79247"/>
          <w:sz w:val="22"/>
          <w:szCs w:val="22"/>
          <w:b w:val="1"/>
          <w:bCs w:val="1"/>
        </w:rPr>
        <w:t xml:space="preserve">Moyens humains et matériels</w:t>
      </w:r>
    </w:p>
    <w:p>
      <w:pPr/>
      <w:r>
        <w:rPr/>
        <w:t xml:space="preserve">1 chargé de mission</w:t>
      </w:r>
      <w:br/>
      <w:r>
        <w:rPr/>
        <w:t xml:space="preserve">logiciel R (optionnel) pour l'automatisation des calculs</w:t>
      </w:r>
    </w:p>
    <w:p>
      <w:pPr/>
      <w:r>
        <w:rPr>
          <w:color w:val="B79247"/>
          <w:sz w:val="22"/>
          <w:szCs w:val="22"/>
          <w:b w:val="1"/>
          <w:bCs w:val="1"/>
        </w:rPr>
        <w:t xml:space="preserve">Méthode de calcul</w:t>
      </w:r>
    </w:p>
    <w:p>
      <w:pPr>
        <w:jc w:val="both"/>
      </w:pPr>
      <w:r>
        <w:rPr/>
        <w:t xml:space="preserve">La valeur de chacune des deux métriques est calculée en plaçant le prix moyen ou le taux de retrait de l’espèce pêchée par les navires dépendants du PNMI dans la classe de prix correspondante sur la grille d’évaluation.</w:t>
      </w:r>
    </w:p>
    <w:p>
      <w:pPr/>
      <w:r>
        <w:rPr>
          <w:color w:val="B79247"/>
          <w:sz w:val="22"/>
          <w:szCs w:val="22"/>
          <w:b w:val="1"/>
          <w:bCs w:val="1"/>
        </w:rPr>
        <w:t xml:space="preserve">Lecture</w:t>
      </w:r>
    </w:p>
    <w:p>
      <w:pPr/>
      <w:r>
        <w:rPr/>
        <w:t xml:space="preserve">La grille de lecture est définie sur la base des centiles de prix moyen ou de taux de retrait calculés sur les données de la façade.</w:t>
      </w:r>
    </w:p>
    <w:p>
      <w:pPr/>
      <w:r>
        <w:rPr/>
        <w:t xml:space="preserve">La valeur dans l'AMP est ainsi comparée à ces centiles.</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tblBorders>
          <w:top w:val="single" w:sz="15"/>
          <w:left w:val="single" w:sz="15"/>
          <w:right w:val="single" w:sz="15"/>
          <w:bottom w:val="single" w:sz="15"/>
          <w:insideH w:val="single" w:sz="15"/>
          <w:insideV w:val="single" w:sz="15"/>
        </w:tblBorders>
      </w:tblPr>
      <w:tr>
        <w:trPr/>
        <w:tc>
          <w:tcPr>
            <w:noWrap/>
          </w:tcPr>
          <w:p>
            <w:pPr/>
            <w:r>
              <w:rPr/>
              <w:t xml:space="preserve"> </w:t>
            </w:r>
          </w:p>
        </w:tc>
        <w:tc>
          <w:tcPr>
            <w:shd w:val="clear" w:fill="red"/>
            <w:noWrap/>
          </w:tcPr>
          <w:p>
            <w:pPr/>
            <w:r>
              <w:rPr>
                <w:shd w:val="clear" w:fill="red"/>
              </w:rPr>
              <w:t xml:space="preserve">Très mauvais</w:t>
            </w:r>
          </w:p>
        </w:tc>
        <w:tc>
          <w:tcPr>
            <w:shd w:val="clear" w:fill="orange"/>
            <w:noWrap/>
          </w:tcPr>
          <w:p>
            <w:pPr/>
            <w:r>
              <w:rPr>
                <w:shd w:val="clear" w:fill="orange"/>
              </w:rPr>
              <w:t xml:space="preserve">Mauvais</w:t>
            </w:r>
          </w:p>
        </w:tc>
        <w:tc>
          <w:tcPr>
            <w:shd w:val="clear" w:fill="yellow"/>
            <w:noWrap/>
          </w:tcPr>
          <w:p>
            <w:pPr/>
            <w:r>
              <w:rPr>
                <w:shd w:val="clear" w:fill="yellow"/>
              </w:rPr>
              <w:t xml:space="preserve">Moyen</w:t>
            </w:r>
          </w:p>
        </w:tc>
        <w:tc>
          <w:tcPr>
            <w:shd w:val="clear" w:fill="green"/>
            <w:noWrap/>
          </w:tcPr>
          <w:p>
            <w:pPr/>
            <w:r>
              <w:rPr>
                <w:shd w:val="clear" w:fill="green"/>
              </w:rPr>
              <w:t xml:space="preserve">Bon</w:t>
            </w:r>
          </w:p>
        </w:tc>
        <w:tc>
          <w:tcPr>
            <w:shd w:val="clear" w:fill="dodgerblue"/>
            <w:noWrap/>
          </w:tcPr>
          <w:p>
            <w:pPr/>
            <w:r>
              <w:rPr>
                <w:shd w:val="clear" w:fill="dodgerblue"/>
              </w:rPr>
              <w:t xml:space="preserve">Très bon</w:t>
            </w:r>
          </w:p>
        </w:tc>
      </w:tr>
      <w:tr>
        <w:trPr/>
        <w:tc>
          <w:tcPr>
            <w:noWrap/>
          </w:tcPr>
          <w:p>
            <w:pPr/>
            <w:r>
              <w:rPr/>
              <w:t xml:space="preserve">   Prix moyen de l’espèce       </w:t>
            </w:r>
          </w:p>
        </w:tc>
        <w:tc>
          <w:tcPr>
            <w:shd w:val="clear" w:fill="red"/>
            <w:noWrap/>
          </w:tcPr>
          <w:p>
            <w:pPr/>
            <w:r>
              <w:rPr>
                <w:shd w:val="clear" w:fill="red"/>
              </w:rPr>
              <w:t xml:space="preserve">  ≤ à la valeur du centile 20   </w:t>
            </w:r>
          </w:p>
        </w:tc>
        <w:tc>
          <w:tcPr>
            <w:shd w:val="clear" w:fill="orange"/>
            <w:noWrap/>
          </w:tcPr>
          <w:p>
            <w:pPr/>
            <w:r>
              <w:rPr>
                <w:shd w:val="clear" w:fill="orange"/>
              </w:rPr>
              <w:t xml:space="preserve">   Valeurs des centiles ]20 ;40]   </w:t>
            </w:r>
          </w:p>
        </w:tc>
        <w:tc>
          <w:tcPr>
            <w:shd w:val="clear" w:fill="yellow"/>
            <w:noWrap/>
          </w:tcPr>
          <w:p>
            <w:pPr/>
            <w:r>
              <w:rPr>
                <w:shd w:val="clear" w:fill="yellow"/>
              </w:rPr>
              <w:t xml:space="preserve">   Valeurs des centiles ]40 ;60]    </w:t>
            </w:r>
          </w:p>
        </w:tc>
        <w:tc>
          <w:tcPr>
            <w:shd w:val="clear" w:fill="green"/>
            <w:noWrap/>
          </w:tcPr>
          <w:p>
            <w:pPr/>
            <w:r>
              <w:rPr>
                <w:shd w:val="clear" w:fill="green"/>
              </w:rPr>
              <w:t xml:space="preserve">   Valeurs des centiles ]60 ;80]     </w:t>
            </w:r>
          </w:p>
        </w:tc>
        <w:tc>
          <w:tcPr>
            <w:shd w:val="clear" w:fill="dodgerblue"/>
            <w:noWrap/>
          </w:tcPr>
          <w:p>
            <w:pPr/>
            <w:r>
              <w:rPr>
                <w:shd w:val="clear" w:fill="dodgerblue"/>
              </w:rPr>
              <w:t xml:space="preserve">   &gt; à la valeur du centile 80     </w:t>
            </w:r>
          </w:p>
        </w:tc>
      </w:tr>
      <w:tr>
        <w:trPr/>
        <w:tc>
          <w:tcPr>
            <w:noWrap/>
          </w:tcPr>
          <w:p>
            <w:pPr/>
            <w:r>
              <w:rPr/>
              <w:t xml:space="preserve">   Taux de retrait de l’espèce   </w:t>
            </w:r>
          </w:p>
        </w:tc>
        <w:tc>
          <w:tcPr>
            <w:shd w:val="clear" w:fill="red"/>
            <w:noWrap/>
          </w:tcPr>
          <w:p>
            <w:pPr/>
            <w:r>
              <w:rPr>
                <w:shd w:val="clear" w:fill="red"/>
              </w:rPr>
              <w:t xml:space="preserve">   &gt; à la valeur du centile 80    </w:t>
            </w:r>
          </w:p>
        </w:tc>
        <w:tc>
          <w:tcPr>
            <w:shd w:val="clear" w:fill="orange"/>
            <w:noWrap/>
          </w:tcPr>
          <w:p>
            <w:pPr/>
            <w:r>
              <w:rPr>
                <w:shd w:val="clear" w:fill="orange"/>
              </w:rPr>
              <w:t xml:space="preserve">   Valeurs des centiles ]60 ;80]    </w:t>
            </w:r>
          </w:p>
        </w:tc>
        <w:tc>
          <w:tcPr>
            <w:shd w:val="clear" w:fill="yellow"/>
            <w:noWrap/>
          </w:tcPr>
          <w:p>
            <w:pPr/>
            <w:r>
              <w:rPr>
                <w:shd w:val="clear" w:fill="yellow"/>
              </w:rPr>
              <w:t xml:space="preserve">   Valeurs des centiles ]40 ;60]   </w:t>
            </w:r>
          </w:p>
        </w:tc>
        <w:tc>
          <w:tcPr>
            <w:shd w:val="clear" w:fill="green"/>
            <w:noWrap/>
          </w:tcPr>
          <w:p>
            <w:pPr/>
            <w:r>
              <w:rPr>
                <w:shd w:val="clear" w:fill="green"/>
              </w:rPr>
              <w:t xml:space="preserve">   Valeurs des centiles ]20 ;40]   </w:t>
            </w:r>
          </w:p>
        </w:tc>
        <w:tc>
          <w:tcPr>
            <w:shd w:val="clear" w:fill="dodgerblue"/>
            <w:noWrap/>
          </w:tcPr>
          <w:p>
            <w:pPr/>
            <w:r>
              <w:rPr>
                <w:shd w:val="clear" w:fill="dodgerblue"/>
              </w:rPr>
              <w:t xml:space="preserve">   ≤ à la valeur du centile 20   </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raréfaction ou inversement augmentation de certaines espèces</w:t>
      </w:r>
      <w:br/>
      <w:r>
        <w:rPr/>
        <w:t xml:space="preserve">aléas météo diminuant le nombre de marées</w:t>
      </w:r>
      <w:br/>
      <w:r>
        <w:rPr/>
        <w:t xml:space="preserve">labellisation des pratiques de pêche</w:t>
      </w:r>
      <w:br/>
      <w:r>
        <w:rPr/>
        <w:t xml:space="preserve">modification des engins de pêche</w:t>
      </w:r>
      <w:b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indicateur simple</w:t>
      </w:r>
    </w:p>
    <w:p>
      <w:pPr/>
      <w:r>
        <w:rPr/>
        <w:t xml:space="preserve">données disponibles annuellement</w:t>
      </w:r>
    </w:p>
    <w:p>
      <w:pPr/>
      <w:r>
        <w:rPr>
          <w:color w:val="B79247"/>
          <w:sz w:val="22"/>
          <w:szCs w:val="22"/>
          <w:b w:val="1"/>
          <w:bCs w:val="1"/>
        </w:rPr>
        <w:t xml:space="preserve">Principales limites</w:t>
      </w:r>
    </w:p>
    <w:p>
      <w:pPr/>
      <w:r>
        <w:rPr/>
        <w:t xml:space="preserve">la variation du prix dépend plus du marché que d'une plus-value de l'AMP</w:t>
      </w:r>
    </w:p>
    <w:p>
      <w:pPr/>
      <w:r>
        <w:rPr/>
        <w:t xml:space="preserve">ne prend en compte que les ventes réalisées en criée</w:t>
      </w:r>
    </w:p>
    <w:p>
      <w:pPr/>
      <w:r>
        <w:rPr>
          <w:color w:val="B79247"/>
          <w:sz w:val="22"/>
          <w:szCs w:val="22"/>
          <w:b w:val="1"/>
          <w:bCs w:val="1"/>
        </w:rPr>
        <w:t xml:space="preserve">Pistes d'amélioration</w:t>
      </w:r>
    </w:p>
    <w:p>
      <w:pPr/>
      <w:r>
        <w:rPr/>
        <w:t xml:space="preserve">suppression de la métrique liée au taux de retrait (non pertinent sur les espèces nobles)</w:t>
      </w:r>
    </w:p>
    <w:p>
      <w:pPr/>
      <w:r>
        <w:rPr/>
        <w:t xml:space="preserve">étudier les mêmes espèces pour cet indicateur que les espèces d'importance économique pour les pêcheurs (indicateurs de dépendance économique aux espèces)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2026-10-06T03:10:20+02:00</dcterms:created>
  <dcterms:modified xsi:type="dcterms:W3CDTF">2026-10-06T03:10:20+02:00</dcterms:modified>
</cp:coreProperties>
</file>

<file path=docProps/custom.xml><?xml version="1.0" encoding="utf-8"?>
<Properties xmlns="http://schemas.openxmlformats.org/officeDocument/2006/custom-properties" xmlns:vt="http://schemas.openxmlformats.org/officeDocument/2006/docPropsVTypes"/>
</file>