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d'actifs par flottille (pêche professionnelle)</w:t>
      </w:r>
    </w:p>
    <w:p>
      <w:pPr/>
      <w:r>
        <w:rPr/>
        <w:t xml:space="preserve">Version du 19/11/2021 à 09:49:19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"nombre d'actifs" permet de caractériser le niveau d’emploi dans le domaine de la pêche (et de l’aquaculture) au sein de l'AMP. Il peut être complété par une seconde métrique relative ) l’âge moyen des actifs.</w:t>
      </w:r>
    </w:p>
    <w:p>
      <w:pPr>
        <w:jc w:val="both"/>
        <w:spacing w:after="195"/>
      </w:pPr>
      <w:r>
        <w:rPr/>
        <w:t xml:space="preserve">L’objectif est d’avoir un effectif important de marins pêcheurs avec un bon renouvellement (moyenne d’âge jeune) pour assurer le maintien de la profession.</w:t>
      </w:r>
    </w:p>
    <w:p>
      <w:pPr/>
      <w:r>
        <w:rPr>
          <w:color w:val="B79247"/>
          <w:sz w:val="22"/>
          <w:szCs w:val="22"/>
          <w:b w:val="1"/>
          <w:bCs w:val="1"/>
        </w:rPr>
        <w:t xml:space="preserve">Objet évalué</w:t>
      </w:r>
    </w:p>
    <w:p>
      <w:pPr/>
      <w:r>
        <w:rPr/>
        <w:t xml:space="preserve">L'indicateur "nombre d'actifs" permet d'évaluer le niveau d'emploi de la pêche professionnelle</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social</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r>
        <w:rPr>
          <w:color w:val="B79247"/>
          <w:sz w:val="22"/>
          <w:szCs w:val="22"/>
          <w:b w:val="1"/>
          <w:bCs w:val="1"/>
        </w:rPr>
        <w:t xml:space="preserve">Nombre de navires actifs par flottille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Nombre de pêcheurs par navire</w:t>
      </w:r>
    </w:p>
    <w:p>
      <w:pPr/>
      <w:r>
        <w:rPr>
          <w:b w:val="1"/>
          <w:bCs w:val="1"/>
        </w:rPr>
        <w:t xml:space="preserve">Source des données</w:t>
      </w:r>
    </w:p>
    <w:p>
      <w:pPr/>
      <w:r>
        <w:rPr/>
        <w:t xml:space="preserve">Les données mobilisées pour le calcul de cet indicateur sont issues des calendriers d'activité  (Ifremer), ce sont des données exhaustives collectées par le réseau des observateurs du SIH auprès des patrons de pêche et de leurs représentants professionnels et recensant leurs activités de pêche (métiers, zones de pêche) sur une base mensuelle. Les calendriers d’activité renseignent l’ensemble des métiers pratiqués par mois ainsi que les deux zones de pêche principales associées à chaque métier. Le nombre de pêcheurs à bord est également renseigné.</w:t>
      </w:r>
    </w:p>
    <w:p>
      <w:pPr/>
      <w:r>
        <w:rPr>
          <w:b w:val="1"/>
          <w:bCs w:val="1"/>
        </w:rPr>
        <w:t xml:space="preserve">Stratégie spatiale</w:t>
      </w:r>
    </w:p>
    <w:p>
      <w:pPr/>
      <w:r>
        <w:rPr/>
        <w:t xml:space="preserve">A l'échelle des rectangles statistiques CIEM</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w:t>
      </w:r>
    </w:p>
    <w:p>
      <w:pPr/>
      <w:r>
        <w:rPr>
          <w:b w:val="1"/>
          <w:bCs w:val="1"/>
        </w:rPr>
        <w:t xml:space="preserve">Protocole de récolte</w:t>
      </w:r>
    </w:p>
    <w:p>
      <w:pPr/>
      <w:r>
        <w:rPr/>
        <w:t xml:space="preserve">Les données collectées au niveau national par le SIH sont directement extraites et transmises par l'Ifremer.</w:t>
      </w:r>
    </w:p>
    <w:p>
      <w:pPr/>
      <w:r>
        <w:rPr>
          <w:b w:val="1"/>
          <w:bCs w:val="1"/>
        </w:rPr>
        <w:t xml:space="preserve">Référentiel(s) utilisé(s)</w:t>
      </w:r>
    </w:p>
    <w:p>
      <w:pPr/>
      <w:r>
        <w:rPr/>
        <w:t xml:space="preserve">FAO</w:t>
      </w:r>
    </w:p>
    <w:p>
      <w:pPr/>
      <w:r>
        <w:rPr>
          <w:b w:val="1"/>
          <w:bCs w:val="1"/>
        </w:rPr>
        <w:t xml:space="preserve">Base(s) de données utilisée(s)</w:t>
      </w:r>
    </w:p>
    <w:p>
      <w:pPr/>
      <w:r>
        <w:rPr/>
        <w:t xml:space="preserve">Harmonie - SIH</w:t>
      </w:r>
    </w:p>
    <w:p>
      <w:pPr/>
      <w:r>
        <w:rPr>
          <w:b w:val="1"/>
          <w:bCs w:val="1"/>
        </w:rPr>
        <w:t xml:space="preserve">Précisions</w:t>
      </w:r>
    </w:p>
    <w:p>
      <w:pPr/>
      <w:r>
        <w:rPr/>
        <w:t xml:space="preserve">La mise à disposition de ces données se fait dans le cadre du partenariat OFB/Ifremer/DPMA.</w:t>
      </w:r>
    </w:p>
    <w:p>
      <w:pPr/>
      <w:r>
        <w:rPr>
          <w:color w:val="0087a5"/>
          <w:sz w:val="26"/>
          <w:szCs w:val="26"/>
          <w:b w:val="1"/>
          <w:bCs w:val="1"/>
          <w:caps w:val="0"/>
        </w:rPr>
        <w:t xml:space="preserve">Métriques</w:t>
      </w:r>
    </w:p>
    <w:p>
      <w:pPr/>
      <w:r>
        <w:rPr>
          <w:color w:val="B79247"/>
          <w:sz w:val="22"/>
          <w:szCs w:val="22"/>
          <w:b w:val="1"/>
          <w:bCs w:val="1"/>
        </w:rPr>
        <w:t xml:space="preserve">Nombre de pêcheurs par flottille</w:t>
      </w: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1 chargé de mission </w:t>
      </w:r>
      <w:br/>
      <w:r>
        <w:rPr/>
        <w:t xml:space="preserve">logiciel R (optionnel) pour l'automatisation des calculs</w:t>
      </w:r>
    </w:p>
    <w:p>
      <w:pPr/>
      <w:r>
        <w:rPr>
          <w:b w:val="1"/>
          <w:bCs w:val="1"/>
        </w:rPr>
        <w:t xml:space="preserve">Méthode de calcul</w:t>
      </w:r>
    </w:p>
    <w:p>
      <w:pPr/>
      <w:r>
        <w:rPr/>
        <w:t xml:space="preserve">Deux calculs sont réalisés :</w:t>
      </w:r>
    </w:p>
    <w:p>
      <w:pPr/>
      <w:r>
        <w:rPr/>
        <w:t xml:space="preserve">- le nombre total d'actifs par flottille qui renseigne le niveau d'emploi de ce métier : somme des actifs par flottille tous navires confondus</w:t>
      </w:r>
    </w:p>
    <w:p>
      <w:pPr/>
      <w:r>
        <w:rPr/>
        <w:t xml:space="preserve">- le nombre moyen d'actifs par flottille qui permet d'interpréter la hausse de ce nombre total (si l'augmentation est due à un changement de pratique ou à une hausse du nombre de navires) : moyenne du nombre d'actifs par navire pour chaque flottille.</w:t>
      </w:r>
    </w:p>
    <w:p>
      <w:pP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w:t>
      </w:r>
    </w:p>
    <w:p>
      <w:pPr/>
      <w:r>
        <w:rPr>
          <w:color w:val="B79247"/>
          <w:sz w:val="22"/>
          <w:szCs w:val="22"/>
          <w:b w:val="1"/>
          <w:bCs w:val="1"/>
        </w:rPr>
        <w:t xml:space="preserve">Moyens humains et matériels</w:t>
      </w:r>
    </w:p>
    <w:p>
      <w:pPr/>
      <w:r>
        <w:rPr/>
        <w:t xml:space="preserve">1 chargé de mission </w:t>
      </w:r>
      <w:br/>
      <w:r>
        <w:rPr/>
        <w:t xml:space="preserve">logiciel R (optionnel) pour l'automatisation des calculs</w:t>
      </w:r>
    </w:p>
    <w:p>
      <w:pPr/>
      <w:r>
        <w:rPr>
          <w:color w:val="B79247"/>
          <w:sz w:val="22"/>
          <w:szCs w:val="22"/>
          <w:b w:val="1"/>
          <w:bCs w:val="1"/>
        </w:rPr>
        <w:t xml:space="preserve">Méthode de calcul</w:t>
      </w:r>
    </w:p>
    <w:p>
      <w:pPr>
        <w:jc w:val="both"/>
        <w:spacing w:after="195"/>
      </w:pPr>
      <w:r>
        <w:rPr/>
        <w:t xml:space="preserve">Les tendances du nombre total et du nombre moyen sont étudiées pour chacune des flottilles. </w:t>
      </w:r>
    </w:p>
    <w:p>
      <w:pPr>
        <w:jc w:val="both"/>
        <w:spacing w:after="195"/>
      </w:pPr>
      <w:r>
        <w:rPr/>
        <w:t xml:space="preserve">Les valeurs toutes flottilles confondues sont également calculées pour interpréter l'indicateur. Les valeurs par flottille permettent quant à elles de préciser l'interprétation</w:t>
      </w:r>
    </w:p>
    <w:p>
      <w:pPr>
        <w:jc w:val="both"/>
        <w:spacing w:after="195"/>
      </w:pPr>
      <w:r>
        <w:rPr/>
        <w:t xml:space="preserve"> </w:t>
      </w:r>
    </w:p>
    <w:p>
      <w:pPr/>
      <w:r>
        <w:rPr/>
        <w:t xml:space="preserve"> </w:t>
      </w:r>
    </w:p>
    <w:p>
      <w:pPr/>
      <w:r>
        <w:rPr>
          <w:color w:val="B79247"/>
          <w:sz w:val="22"/>
          <w:szCs w:val="22"/>
          <w:b w:val="1"/>
          <w:bCs w:val="1"/>
        </w:rPr>
        <w:t xml:space="preserve">Lecture</w:t>
      </w:r>
    </w:p>
    <w:p>
      <w:pPr/>
      <w:r>
        <w:rPr/>
        <w:t xml:space="preserve">La grille de lecture est basée sur des tendances. Son interprétation se fait également au regard de l'indicateur "nombre de navires actifs par flottille".</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   Nombre d'actifs  </w:t>
            </w:r>
          </w:p>
        </w:tc>
        <w:tc>
          <w:tcPr>
            <w:shd w:val="clear" w:fill="red"/>
            <w:noWrap/>
          </w:tcPr>
          <w:p>
            <w:pPr/>
            <w:r>
              <w:rPr>
                <w:shd w:val="clear" w:fill="red"/>
              </w:rPr>
              <w:t xml:space="preserve">   </w:t>
            </w:r>
            <w:r>
              <w:pict>
                <v:shape type="#_x0000_t75" stroked="f" style="width:48pt; height:48pt; margin-left:0pt; margin-top:0pt; mso-position-horizontal:left; mso-position-vertical:top; mso-position-horizontal-relative:char; mso-position-vertical-relative:line;">
                  <w10:wrap type="inline"/>
                  <v:imagedata r:id="rId7" o:title=""/>
                </v:shape>
              </w:pict>
            </w:r>
            <w:r>
              <w:pict>
                <v:shape type="#_x0000_t75" stroked="f" style="width:48pt; height:48pt; margin-left:0pt; margin-top:0pt; mso-position-horizontal:left; mso-position-vertical:top; mso-position-horizontal-relative:char; mso-position-vertical-relative:line;">
                  <w10:wrap type="inline"/>
                  <v:imagedata r:id="rId7" o:title=""/>
                </v:shape>
              </w:pict>
            </w:r>
            <w:r>
              <w:rPr>
                <w:shd w:val="clear" w:fill="red"/>
              </w:rPr>
              <w:t xml:space="preserve">     </w:t>
            </w:r>
          </w:p>
        </w:tc>
        <w:tc>
          <w:tcPr>
            <w:shd w:val="clear" w:fill="orange"/>
            <w:noWrap/>
          </w:tcPr>
          <w:p>
            <w:pPr/>
            <w:r>
              <w:rPr>
                <w:shd w:val="clear" w:fill="orange"/>
              </w:rPr>
              <w:t xml:space="preserve">      </w:t>
            </w:r>
            <w:r>
              <w:pict>
                <v:shape type="#_x0000_t75" stroked="f" style="width:48pt; height:48pt; margin-left:0pt; margin-top:0pt; mso-position-horizontal:left; mso-position-vertical:top; mso-position-horizontal-relative:char; mso-position-vertical-relative:line;">
                  <w10:wrap type="inline"/>
                  <v:imagedata r:id="rId7" o:title=""/>
                </v:shape>
              </w:pict>
            </w:r>
            <w:r>
              <w:rPr>
                <w:shd w:val="clear" w:fill="orange"/>
              </w:rPr>
              <w:t xml:space="preserve">     </w:t>
            </w:r>
          </w:p>
        </w:tc>
        <w:tc>
          <w:tcPr>
            <w:shd w:val="clear" w:fill="yellow"/>
            <w:noWrap/>
          </w:tcPr>
          <w:p>
            <w:pPr/>
            <w:r>
              <w:rPr>
                <w:shd w:val="clear" w:fill="yellow"/>
              </w:rPr>
              <w:t xml:space="preserve">   </w:t>
            </w:r>
            <w:r>
              <w:pict>
                <v:shape type="#_x0000_t75" stroked="f" style="width:48pt; height:48pt; margin-left:0pt; margin-top:0pt; mso-position-horizontal:left; mso-position-vertical:top; mso-position-horizontal-relative:char; mso-position-vertical-relative:line;">
                  <w10:wrap type="inline"/>
                  <v:imagedata r:id="rId8" o:title=""/>
                </v:shape>
              </w:pict>
            </w:r>
            <w:r>
              <w:rPr>
                <w:shd w:val="clear" w:fill="yellow"/>
              </w:rPr>
              <w:t xml:space="preserve">     </w:t>
            </w:r>
          </w:p>
        </w:tc>
        <w:tc>
          <w:tcPr>
            <w:shd w:val="clear" w:fill="green"/>
            <w:noWrap/>
          </w:tcPr>
          <w:p>
            <w:pPr/>
            <w:r>
              <w:rPr>
                <w:shd w:val="clear" w:fill="green"/>
              </w:rPr>
              <w:t xml:space="preserve">   </w:t>
            </w:r>
            <w:r>
              <w:pict>
                <v:shape type="#_x0000_t75" stroked="f" style="width:48pt; height:48pt; margin-left:0pt; margin-top:0pt; mso-position-horizontal:left; mso-position-vertical:top; mso-position-horizontal-relative:char; mso-position-vertical-relative:line;">
                  <w10:wrap type="inline"/>
                  <v:imagedata r:id="rId9" o:title=""/>
                </v:shape>
              </w:pict>
            </w:r>
            <w:r>
              <w:rPr>
                <w:shd w:val="clear" w:fill="green"/>
              </w:rPr>
              <w:t xml:space="preserve">   </w:t>
            </w:r>
          </w:p>
        </w:tc>
        <w:tc>
          <w:tcPr>
            <w:shd w:val="clear" w:fill="dodgerblue"/>
            <w:noWrap/>
          </w:tcPr>
          <w:p>
            <w:pPr/>
            <w:r>
              <w:rPr>
                <w:shd w:val="clear" w:fill="dodgerblue"/>
              </w:rPr>
              <w:t xml:space="preserve">    </w:t>
            </w:r>
            <w:r>
              <w:pict>
                <v:shape type="#_x0000_t75" stroked="f" style="width:48pt; height:48pt; margin-left:0pt; margin-top:0pt; mso-position-horizontal:left; mso-position-vertical:top; mso-position-horizontal-relative:char; mso-position-vertical-relative:line;">
                  <w10:wrap type="inline"/>
                  <v:imagedata r:id="rId9" o:title=""/>
                </v:shape>
              </w:pict>
            </w:r>
            <w:r>
              <w:pict>
                <v:shape type="#_x0000_t75" stroked="f" style="width:48pt; height:48pt; margin-left:0pt; margin-top:0pt; mso-position-horizontal:left; mso-position-vertical:top; mso-position-horizontal-relative:char; mso-position-vertical-relative:line;">
                  <w10:wrap type="inline"/>
                  <v:imagedata r:id="rId9" o:title=""/>
                </v:shape>
              </w:pict>
            </w:r>
            <w:r>
              <w:rPr>
                <w:shd w:val="clear" w:fill="dodgerblue"/>
              </w:rPr>
              <w:t xml:space="preserve">  </w:t>
            </w:r>
          </w:p>
        </w:tc>
      </w:tr>
      <w:tr>
        <w:trPr/>
        <w:tc>
          <w:tcPr>
            <w:noWrap/>
          </w:tcPr>
          <w:p>
            <w:pPr/>
            <w:r>
              <w:rPr/>
              <w:t xml:space="preserve">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Modification des pratiques de pêche</w:t>
      </w:r>
      <w:br/>
      <w:r>
        <w:rPr/>
        <w:t xml:space="preserve">Hausse du nombre de navires actifs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données disponibles annuellement</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2026-07-07T02:29:48+02:00</dcterms:created>
  <dcterms:modified xsi:type="dcterms:W3CDTF">2026-07-07T02:29:48+02:00</dcterms:modified>
</cp:coreProperties>
</file>

<file path=docProps/custom.xml><?xml version="1.0" encoding="utf-8"?>
<Properties xmlns="http://schemas.openxmlformats.org/officeDocument/2006/custom-properties" xmlns:vt="http://schemas.openxmlformats.org/officeDocument/2006/docPropsVTypes"/>
</file>