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CCO - Macroalgues intertidales (MEC)</w:t>
      </w:r>
    </w:p>
    <w:p>
      <w:pPr/>
      <w:r>
        <w:rPr/>
        <w:t xml:space="preserve">Version du 06/10/2025 à 14:43:06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15463917526pt; margin-left:0pt; margin-top:0pt; mso-position-horizontal:left; mso-position-vertical:top; mso-position-horizontal-relative:char; mso-position-vertical-relative:line;">
            <w10:wrap type="inline"/>
            <v:imagedata r:id="rId7" o:title=""/>
          </v:shape>
        </w:pict>
      </w:r>
    </w:p>
    <w:p>
      <w:pPr/>
      <w:r>
        <w:rPr/>
        <w:t xml:space="preserve">Crédit : Laëticia Beauverger (OFB)</w:t>
      </w:r>
    </w:p>
    <w:p>
      <w:pPr/>
      <w:r>
        <w:rPr>
          <w:color w:val="0087a5"/>
          <w:sz w:val="26"/>
          <w:szCs w:val="26"/>
          <w:b w:val="1"/>
          <w:bCs w:val="1"/>
          <w:caps w:val="0"/>
        </w:rPr>
        <w:t xml:space="preserve">Définitions et objectifs</w:t>
      </w:r>
    </w:p>
    <w:p>
      <w:pPr>
        <w:jc w:val="both"/>
      </w:pPr>
      <w:r>
        <w:rPr/>
        <w:t xml:space="preserve">L’indicateur CCO (Cover - Characteristic species - Opportunistic species) est l’indicateur réglementaire mobilisé au titre de la Directive Cadre sur l’Eau (DCE, 2000/60/CE) pour évaluer l’élément de qualité biologique « Macroalgues intertidales » sur les façades Atlantique et Manche - Mer du Nord pour les masses d'eau côtière (MEC) présentant des sites considérés comme bien végétalisés. Cet indicateur n’a pas été utilisé dans le cadre de l'Évaluation du « Bon État Écologique » DCSMM Cycle 3, mais son utilisation pour les exercices d'Évaluation suivants est une option envisagée.</w:t>
      </w:r>
    </w:p>
    <w:p>
      <w:pPr>
        <w:jc w:val="both"/>
      </w:pPr>
      <w:r>
        <w:rPr/>
        <w:t xml:space="preserve">La méthode CCO a été développée par une équipe française (Ar Gall et al. 2016, Laboratoire LEMAR, Institut Universitaire Européen de la Mer), pour tout type d’estran rocheux en mode abrité et semi-battu comptant entre deux et six ceintures de macroalgues. L’indicateur est basé d’une part sur la surface de couvert végétal sur roche, à chaque niveau, en fonction de l’importance surfacique de chaque ceinture. D’autre part, il tient compte, dans chaque ceinture, de la répartition des groupes fonctionnels de macroalgues suivant deux listes fermées d’espèces : celles dites « caractéristiques », et celles dites « opportunistes ».</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A1-2 - Roches ou blocs médiolittoraux à dominance algale</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 </w:t>
      </w:r>
      <w:r>
        <w:rPr/>
        <w:t xml:space="preserve">» (Macroalgal forests).</w:t>
      </w:r>
    </w:p>
    <w:p>
      <w:pPr/>
      <w:r>
        <w:rPr>
          <w:color w:val="B79247"/>
          <w:sz w:val="22"/>
          <w:szCs w:val="22"/>
          <w:b w:val="1"/>
          <w:bCs w:val="1"/>
        </w:rPr>
        <w:t xml:space="preserve">Objet évalué</w:t>
      </w:r>
    </w:p>
    <w:p>
      <w:pPr/>
      <w:r>
        <w:rPr/>
        <w:t xml:space="preserve">L’indicateur CCO utilise la couverture en macroalgues médiolittorales ainsi que les taxa d’algues macroscopiques caractéristiques et opportunistes pour estimer l'état écologique des estrans rocheux à dominante macroalgale en milieu marin.</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Ar Gall E., Le Duff M., Sauriau P.-G., De Casamajor M.-N., Gevaert F., Poisson E., Joncourt Y., Barillé A.-L., Buchet R., Bréret M., Miossec L., 2016, Implementation of a new index to assess intertidal seaweed communities as bioindicators for the European Water Framework Directory, Ecological Indicators, vol. 60, 162-173p.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des ceintures de macroalgues des estrans marins</w:t>
      </w:r>
    </w:p>
    <w:p>
      <w:pPr/>
      <w:r>
        <w:rPr>
          <w:b w:val="1"/>
          <w:bCs w:val="1"/>
        </w:rPr>
        <w:t xml:space="preserve">Source des données</w:t>
      </w:r>
    </w:p>
    <w:p>
      <w:pPr/>
      <w:r>
        <w:rPr/>
        <w:t xml:space="preserve">Depuis 2008, les données sont acquises au titre de la DCE dans les masses d’eau côtière (MEC) pour le sous-élément de qualité macroalgues intertidales.</w:t>
      </w:r>
    </w:p>
    <w:p>
      <w:pPr/>
      <w:r>
        <w:rPr>
          <w:b w:val="1"/>
          <w:bCs w:val="1"/>
        </w:rPr>
        <w:t xml:space="preserve">Stratégie spatiale</w:t>
      </w:r>
    </w:p>
    <w:p>
      <w:pPr/>
      <w:r>
        <w:rPr/>
        <w:t xml:space="preserve">L’indicateur est suivi sur un total de 27 masses d’eau côtière le long des façades Atlantique et Manche - Mer du Nord.</w:t>
      </w:r>
    </w:p>
    <w:p>
      <w:pPr/>
      <w:r>
        <w:rPr>
          <w:b w:val="1"/>
          <w:bCs w:val="1"/>
        </w:rPr>
        <w:t xml:space="preserve">Stratégie temporelle</w:t>
      </w:r>
    </w:p>
    <w:p>
      <w:pPr/>
      <w:r>
        <w:rPr/>
        <w:t xml:space="preserve">La période d'échantillonnage s'étend de mai à juillet, une fois tous les trois ans.</w:t>
      </w:r>
      <w:br/>
      <w:r>
        <w:rPr/>
        <w:t xml:space="preserve">Il est cependant recommandé par la coordination nationale DCE de déployer ce protocole une fois tous les trois ans à deux saisons, au printemps et à l’automne (Ar Gall &amp; Le Duff 2020).</w:t>
      </w:r>
    </w:p>
    <w:p>
      <w:pPr/>
      <w:r>
        <w:rPr>
          <w:b w:val="1"/>
          <w:bCs w:val="1"/>
        </w:rPr>
        <w:t xml:space="preserve">Moyens humains et matériels</w:t>
      </w:r>
    </w:p>
    <w:p>
      <w:pPr/>
      <w:r>
        <w:rPr/>
        <w:t xml:space="preserve">Moyens humains : 2 agents formés à la taxonomie des macroalgues.</w:t>
      </w:r>
      <w:br/>
      <w:r>
        <w:rPr/>
        <w:t xml:space="preserve">Moyens matériels : 1 grand quadrat 1,65 × 1,65 m, 3 petits quadrats de 33 cm × 33 cm, carnet de notation.</w:t>
      </w:r>
    </w:p>
    <w:p>
      <w:pPr/>
      <w:r>
        <w:rPr>
          <w:b w:val="1"/>
          <w:bCs w:val="1"/>
        </w:rPr>
        <w:t xml:space="preserve">Protocole de récolte</w:t>
      </w:r>
    </w:p>
    <w:p>
      <w:pPr>
        <w:jc w:val="both"/>
      </w:pPr>
      <w:r>
        <w:rPr/>
        <w:t xml:space="preserve">Les mesures sont effectuées au sein des six ceintures (dans le cas de la Bretagne) :</w:t>
      </w:r>
    </w:p>
    <w:p>
      <w:pPr>
        <w:jc w:val="both"/>
      </w:pPr>
      <w:r>
        <w:rPr/>
        <w:t xml:space="preserve">1. Ceinture à Pelvetia canaliculata (Pc)</w:t>
      </w:r>
    </w:p>
    <w:p>
      <w:pPr>
        <w:jc w:val="both"/>
      </w:pPr>
      <w:r>
        <w:rPr/>
        <w:t xml:space="preserve">2. Ceinture à Fucus spiralis (Fspi)</w:t>
      </w:r>
    </w:p>
    <w:p>
      <w:pPr>
        <w:jc w:val="both"/>
      </w:pPr>
      <w:r>
        <w:rPr/>
        <w:t xml:space="preserve">3. Ceinture à Ascophyllum nodosum/Fucus vesiculosus (An/Fves)</w:t>
      </w:r>
    </w:p>
    <w:p>
      <w:pPr>
        <w:jc w:val="both"/>
      </w:pPr>
      <w:r>
        <w:rPr/>
        <w:t xml:space="preserve">4. Ceinture à Fucus serratus/Rhodophyta (Fser)</w:t>
      </w:r>
    </w:p>
    <w:p>
      <w:pPr>
        <w:jc w:val="both"/>
      </w:pPr>
      <w:r>
        <w:rPr/>
        <w:t xml:space="preserve">5. Ceinture à Himanthalia elongata/Bifurcaria bifurcata/Rhodophyta (He/Bb)</w:t>
      </w:r>
    </w:p>
    <w:p>
      <w:pPr>
        <w:jc w:val="both"/>
      </w:pPr>
      <w:r>
        <w:rPr/>
        <w:t xml:space="preserve">6. Ceinture à Laminaria digitata/Laminariales (Ld)</w:t>
      </w:r>
    </w:p>
    <w:p>
      <w:pPr>
        <w:jc w:val="both"/>
      </w:pPr>
      <w:r>
        <w:rPr/>
        <w:t xml:space="preserve">[Une adaptation des ceintures suivant le secteur biogéographique est réalisée (cf. Côte Basque : de Casamajor et al. 2022).]</w:t>
      </w:r>
    </w:p>
    <w:p>
      <w:pPr>
        <w:jc w:val="both"/>
      </w:pPr>
      <w:r>
        <w:rPr/>
        <w:t xml:space="preserve">Les couvertures de macroalgues sont mesurées au niveau de trois points fixes de 1,65 m × 1,65 m par ceinture. Au sein de ces points fixes, trois quadrats aléatoires de 33 cm x 33 cm sont disposés. Au total, 9 quadrats et 0,9 m2 sont suivis pour chacune des ceintures.</w:t>
      </w:r>
    </w:p>
    <w:p>
      <w:pPr/>
      <w:r>
        <w:rPr/>
        <w:t xml:space="preserve">	</w:t>
      </w:r>
    </w:p>
    <w:p>
      <w:pPr>
        <w:numPr>
          <w:ilvl w:val="0"/>
          <w:numId w:val="1"/>
        </w:numPr>
      </w:pPr>
      <w:r>
        <w:rPr/>
        <w:t xml:space="preserve">Couverture des macroalgues :</w:t>
      </w:r>
    </w:p>
    <w:p>
      <w:pPr>
        <w:jc w:val="both"/>
      </w:pPr>
      <w:r>
        <w:rPr/>
        <w:t xml:space="preserve">Le protocole est comparable à celui développé pour les ceintures de macroalgues intertidales des masses d’eau de transition (MET ; protocole indicateur ABER). La couverture végétale globale (toutes algues confondues) est déterminée dans chaque ceinture (en % de recouvrement).</w:t>
      </w:r>
    </w:p>
    <w:p>
      <w:pPr/>
      <w:r>
        <w:rPr/>
        <w:t xml:space="preserve">	</w:t>
      </w:r>
    </w:p>
    <w:p>
      <w:pPr>
        <w:numPr>
          <w:ilvl w:val="0"/>
          <w:numId w:val="2"/>
        </w:numPr>
      </w:pPr>
      <w:r>
        <w:rPr/>
        <w:t xml:space="preserve">Nombre d'espèces caractéristiques :</w:t>
      </w:r>
    </w:p>
    <w:p>
      <w:pPr>
        <w:jc w:val="both"/>
      </w:pPr>
      <w:r>
        <w:rPr/>
        <w:t xml:space="preserve">Les espèces caractéristiques de chacune des 6 ceintures sont listées dans Ar Gall et al. (2016) (Tableau 1) et seules celles représentant une couverture moyenne supérieure à 2,5% sont prises en compte. Au sein de chaque ceinture, le nombre d’espèces caractéristique est mesuré dans chaque quadrat.</w:t>
      </w:r>
    </w:p>
    <w:p>
      <w:pPr>
        <w:jc w:val="center"/>
      </w:pPr>
      <w:r>
        <w:rPr/>
        <w:t xml:space="preserve">Tableau 1 : Exemple de liste des espèces caractéristiques de macrophytes pour les côtes “Poitou-Charentes” (Bazin et al. 2022 d'après Ar Gall et al. 2016)</w:t>
      </w:r>
    </w:p>
    <w:p>
      <w:pPr>
        <w:jc w:val="center"/>
        <w:spacing w:after="180"/>
      </w:pPr>
      <w:r>
        <w:pict>
          <v:shape type="#_x0000_t75" stroked="f" style="width:1228pt; height:1598pt; margin-left:0pt; margin-top:0pt; mso-position-horizontal:left; mso-position-vertical:top; mso-position-horizontal-relative:char; mso-position-vertical-relative:line;">
            <w10:wrap type="inline"/>
            <v:imagedata r:id="rId8" o:title=""/>
          </v:shape>
        </w:pict>
      </w:r>
      <w:r>
        <w:rPr/>
        <w:t xml:space="preserve"> </w:t>
      </w:r>
    </w:p>
    <w:p>
      <w:pPr/>
      <w:r>
        <w:rPr/>
        <w:t xml:space="preserve">	</w:t>
      </w:r>
    </w:p>
    <w:p>
      <w:pPr>
        <w:numPr>
          <w:ilvl w:val="0"/>
          <w:numId w:val="3"/>
        </w:numPr>
      </w:pPr>
      <w:r>
        <w:rPr/>
        <w:t xml:space="preserve">Couverture des espèces opportunistes :</w:t>
      </w:r>
    </w:p>
    <w:p>
      <w:pPr>
        <w:jc w:val="both"/>
      </w:pPr>
      <w:r>
        <w:rPr/>
        <w:t xml:space="preserve">La couverture globale des espèces opportunistes est mesurée dans chaque ceinture au sein des quadrats.</w:t>
      </w:r>
    </w:p>
    <w:p>
      <w:pPr>
        <w:jc w:val="both"/>
      </w:pPr>
      <w:r>
        <w:rPr/>
        <w:t xml:space="preserve">Dans les 9 quadrats par ceinture, les espèces opportunistes sont les suivantes :</w:t>
      </w:r>
    </w:p>
    <w:p>
      <w:pPr>
        <w:jc w:val="both"/>
      </w:pPr>
      <w:r>
        <w:rPr/>
        <w:t xml:space="preserve">- Phaeophyceae : Ectocarpales (Ectocarpaceae : Ectocarpus spp., Pylaiella spp., Hincksia spp.).</w:t>
      </w:r>
    </w:p>
    <w:p>
      <w:pPr>
        <w:jc w:val="both"/>
      </w:pPr>
      <w:r>
        <w:rPr/>
        <w:t xml:space="preserve">- Chlorophyta : Enteromorpha/Ulva compressa, Enteromorpha ramulosa (Ulva clathrata), Ulva spp.</w:t>
      </w:r>
    </w:p>
    <w:p>
      <w:pPr>
        <w:jc w:val="both"/>
      </w:pPr>
      <w:r>
        <w:rPr/>
        <w:t xml:space="preserve">- Rhodophyta: Ceramium spp., Polysiphonia spp. (hormis P. lanosa et P. elongata), Boergeseniella spp.</w:t>
      </w:r>
    </w:p>
    <w:p>
      <w:pPr>
        <w:jc w:val="both"/>
      </w:pPr>
      <w:r>
        <w:rPr/>
        <w:t xml:space="preserve">- Microalgues coloniales (biofilm) : Diatomées (épiphytes ou épilithes)</w:t>
      </w:r>
    </w:p>
    <w:p>
      <w:pPr>
        <w:jc w:val="both"/>
      </w:pPr>
      <w:r>
        <w:rPr/>
        <w:t xml:space="preserve">Les listes des espèces caractéristiques et opportunistes sont adaptées suivant le secteur biogéographique (cf. Côte Basque : de Casamajor et al. 2022).</w:t>
      </w:r>
    </w:p>
    <w:p>
      <w:pPr/>
      <w:r>
        <w:rPr>
          <w:b w:val="1"/>
          <w:bCs w:val="1"/>
        </w:rPr>
        <w:t xml:space="preserve">Référentiel(s) utilisé(s)</w:t>
      </w:r>
    </w:p>
    <w:p>
      <w:pPr/>
      <w:r>
        <w:rPr>
          <w:b w:val="1"/>
          <w:bCs w:val="1"/>
        </w:rPr>
        <w:t xml:space="preserve">Base(s) de données utilisée(s)</w:t>
      </w:r>
    </w:p>
    <w:p>
      <w:pPr/>
      <w:r>
        <w:rPr/>
        <w:t xml:space="preserve">Les données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Couverture des macroalgues (métrique C)</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différentes ceintures algales sont classées par rang (1 à 6) suivant leur surface totale au sein de la station. La ceinture la plus vaste présente le rang 1 tandis que la ceinture la plus étroite est classée en rang 6. Un barême de points est ensuite appliqué en fonction de la couverture algale mesurée selon le rang attribué. Pour attribuer les points aux couvertures des ceintures, cinq tableaux indiciels différents sont utilisés en suivant le rang de la ceinture. Les points obtenus pour chaque ceinture sont cumulés pour donner une valeur globale pour l’estran. La note cumulée ne peut dépasser 40 points. Seules les ceintures présentes sont prises en compte. Si une ou deux ceintures sont absentes du site, on applique une règle de trois à partir de la somme obtenue avec les ceintures existantes, afin d’évaluer le sous-indice sur une échelle de 40 points.</w:t>
      </w:r>
    </w:p>
    <w:p>
      <w:pPr>
        <w:jc w:val="center"/>
      </w:pPr>
      <w:r>
        <w:rPr/>
        <w:t xml:space="preserve">Tableau 2 : Scores pour la couverture végétale globale en fonction de la surface et donc du rang de chaque ceinture (Bazin et al. 2022 d'après Ar Gall et al. 2016).</w:t>
      </w:r>
    </w:p>
    <w:p>
      <w:pPr>
        <w:jc w:val="center"/>
        <w:spacing w:after="180"/>
      </w:pPr>
      <w:r>
        <w:pict>
          <v:shape type="#_x0000_t75" stroked="f" style="width:869pt; height:571pt; margin-left:0pt; margin-top:0pt; mso-position-horizontal:left; mso-position-vertical:top; mso-position-horizontal-relative:char; mso-position-vertical-relative:line;">
            <w10:wrap type="inline"/>
            <v:imagedata r:id="rId9" o:title=""/>
          </v:shape>
        </w:pict>
      </w:r>
      <w:r>
        <w:rPr/>
        <w:t xml:space="preserve"> </w:t>
      </w:r>
    </w:p>
    <w:p>
      <w:pPr/>
      <w:r>
        <w:rPr>
          <w:color w:val="B79247"/>
          <w:sz w:val="22"/>
          <w:szCs w:val="22"/>
          <w:b w:val="1"/>
          <w:bCs w:val="1"/>
        </w:rPr>
        <w:t xml:space="preserve">Nombre d'espèces caractéristiques (métrique 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nombre d'espèces caractéristiques présentes dans chaque ceinture est converti en points. Pour attribuer les points au nombre d'espèces, le tableau indiciel suivant est utilisé.</w:t>
      </w:r>
    </w:p>
    <w:p>
      <w:pPr>
        <w:jc w:val="center"/>
      </w:pPr>
      <w:r>
        <w:rPr/>
        <w:t xml:space="preserve">Tableau 3 : Attribution du score par ceinture à partir du pourcentage d'espèces caractéristiques (Bazin et al. 2022 d'après Ar Gall et al. 2016).</w:t>
      </w:r>
    </w:p>
    <w:p>
      <w:pPr>
        <w:jc w:val="center"/>
        <w:spacing w:after="180"/>
      </w:pPr>
      <w:r>
        <w:pict>
          <v:shape type="#_x0000_t75" stroked="f" style="width:1133pt; height:442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Les scores obtenus sont additionnés par station afin d’obtenir la métrique totale ayant une valeur maximale de 150. Par la suite, ce score est ramené sur une valeur maximale de 30 au moyen d’une règle de trois.</w:t>
      </w:r>
    </w:p>
    <w:p>
      <w:pPr/>
      <w:r>
        <w:rPr>
          <w:color w:val="B79247"/>
          <w:sz w:val="22"/>
          <w:szCs w:val="22"/>
          <w:b w:val="1"/>
          <w:bCs w:val="1"/>
        </w:rPr>
        <w:t xml:space="preserve">Couverture des espèces opportunistes (métrique 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moyen (%) des espèces opportunistes est calculé pour chaque ceinture d’algues (moyenne sur les 9 quadrats). Un score est ensuite attribué à chaque ceinture en fonction du taux de recouvrement moyen sur la base du tableau suivant (Tableau 4). Les ceintures à Pelvetia canaliculata (Pc) et à Fucus spiralis (Fspi) sont regroupées pour la mesure de ce paramètre.</w:t>
      </w:r>
    </w:p>
    <w:p>
      <w:pPr>
        <w:jc w:val="center"/>
      </w:pPr>
      <w:r>
        <w:rPr/>
        <w:t xml:space="preserve">Tableau 4 : Attribution du score pour le couvert des espèces opportunistes au niveau de chaque ceinture (Bazin et al. 2022 d'après Ar Gall et al. 2016).</w:t>
      </w:r>
    </w:p>
    <w:p>
      <w:pPr>
        <w:jc w:val="center"/>
        <w:spacing w:after="180"/>
      </w:pPr>
      <w:r>
        <w:pict>
          <v:shape type="#_x0000_t75" stroked="f" style="width:1142pt; height:438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Les scores pour chaque ceinture sont additionnés afin d'obtenir un score total par station ayant une valeur maximale de 30. Lorsqu'une ceinture est absente, le total se fait en appliquant une règle de trois pour rétablir un score sur 30.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global CCO (Cover – Characteristic species – Opportunist species) est calculé en sommant les 3 métriques (C, N O) obtenues respectivement pour les métriques « couverture végétale globale » (note sur 40) « nombre d’espèces caractéristiques » (note sur 30) et « couverture d’espèces opportunistes » (note sur 30). Sa valeur maximale est 100.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L’état qualitatif d’un site « macroalgues intertidales » est obtenu en comparant l’indice CCO avec les seuils EQR (Ecological Quality Ratio) (Tableau 5). Pour permettre cette comparaison, la valeur de l’indicateur CCO (note sur 100) est divisée par 100 pour obtenir un ratio compris entre 0 et 1.</w:t>
      </w:r>
    </w:p>
    <w:p>
      <w:pPr>
        <w:jc w:val="center"/>
      </w:pPr>
      <w:r>
        <w:rPr/>
        <w:t xml:space="preserve">Tableau 5 : Grille de lecture pour l'indicateur CCO à partir de l'EQR (Ar Gall et al. 2016 ; MTES 2018).</w:t>
      </w:r>
    </w:p>
    <w:p>
      <w:pPr>
        <w:jc w:val="center"/>
        <w:spacing w:after="180"/>
      </w:pPr>
      <w:r>
        <w:pict>
          <v:shape type="#_x0000_t75" stroked="f" style="width:1155pt; height:499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des métriques utilise une liste d'espèces caractéristiques. Initialement celle-ci a été développée pour la région Bretagne mais la liste est adaptée à la zone d'études (p. ex. pour la Côte Basque celle-ci est différente; de Casamajor et al. 2022).</w:t>
      </w:r>
      <w:br/>
      <w:r>
        <w:rPr/>
        <w:t xml:space="preserve">Un indicateur « DCSMM » composite a fait l’objet de développements (Ar Gall &amp; Le Duff 2020). Il est basé sur l'indicateur Ics, complété par une partie de l’indicateur CCO et de données de macrofaune associée.</w:t>
      </w:r>
      <w:br/>
      <w:r>
        <w:rPr/>
        <w:t xml:space="preserve">L’indicateur CCO est potentiellement sensible à des évolutions induites par le changement climatique, comme, par exemple, les proliférations de brouteurs.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Protocole de terrain facilement déployable avec peu de matériel. Nécessite une expertise taxonomique sur les macroalgues. Se basant sur une liste fermée d’espèces (caractéristiques et opportunistes), cette compétence d’identification peut être acquise avec une formation adaptée.</w:t>
      </w:r>
    </w:p>
    <w:p>
      <w:pPr>
        <w:jc w:val="both"/>
      </w:pPr>
      <w:r>
        <w:rPr/>
        <w:t xml:space="preserve">Qualitativement, les principales pressions anthropiques qui affectent l’indicateur sont les rejets d’eau chaude, la turbidité, l’eutrophisation, les pollutions chimiques - pesticides, marées noires, le prélèvement d’espèces lié à la pêche à pied professionnelle ou récréative, l’exploitation industrielle (MTES 2018 ; Tableau 6).</w:t>
      </w:r>
    </w:p>
    <w:p>
      <w:pPr>
        <w:jc w:val="center"/>
      </w:pPr>
      <w:r>
        <w:rPr/>
        <w:t xml:space="preserve">Tableau 6 : Sensibilité des métriques aux pressions (MTES 2018)</w:t>
      </w:r>
    </w:p>
    <w:p>
      <w:pPr>
        <w:jc w:val="center"/>
        <w:spacing w:after="180"/>
      </w:pPr>
      <w:r>
        <w:pict>
          <v:shape type="#_x0000_t75" stroked="f" style="width:620pt; height:132pt; margin-left:0pt; margin-top:0pt; mso-position-horizontal:left; mso-position-vertical:top; mso-position-horizontal-relative:char; mso-position-vertical-relative:line;">
            <w10:wrap type="inline"/>
            <v:imagedata r:id="rId13" o:title=""/>
          </v:shape>
        </w:pict>
      </w:r>
      <w:r>
        <w:rPr/>
        <w:t xml:space="preserve"> </w:t>
      </w:r>
    </w:p>
    <w:p>
      <w:pPr/>
      <w:r>
        <w:rPr/>
        <w:t xml:space="preserve">La sensibilité du CCO aux pressions anthropiques a été à ce jour évalué quantitativement à travers un indicateur multi-pression semi-quantitatif. Cet indicateur pression combine les pressions d’origine urbaine, industrielle et les pollutions diffuses (Buchet et al. 2012). Une correlation significative a été mesurée entre l’indicateur CCO et l’indicateur pression (Ar Gall et al. 2016).</w:t>
      </w:r>
    </w:p>
    <w:p>
      <w:pPr/>
      <w:r>
        <w:rPr>
          <w:color w:val="B79247"/>
          <w:sz w:val="22"/>
          <w:szCs w:val="22"/>
          <w:b w:val="1"/>
          <w:bCs w:val="1"/>
        </w:rPr>
        <w:t xml:space="preserve">Principales limites</w:t>
      </w:r>
    </w:p>
    <w:p>
      <w:pPr>
        <w:jc w:val="both"/>
      </w:pPr>
      <w:r>
        <w:rPr/>
        <w:t xml:space="preserve">Il est difficile de discriminer l’effet des différentes pressions anthropiques et l’effet des perturbations naturelles.</w:t>
      </w:r>
    </w:p>
    <w:p>
      <w:pPr>
        <w:jc w:val="both"/>
      </w:pPr>
      <w:r>
        <w:rPr/>
        <w:t xml:space="preserve">Une intégration de la macrofaune associée aux communautés macroalgales serait un bon complément.</w:t>
      </w:r>
    </w:p>
    <w:p>
      <w:pPr>
        <w:jc w:val="both"/>
      </w:pPr>
      <w:r>
        <w:rPr/>
        <w:t xml:space="preserve">La liste fermée des espèces caractéristiques et opportunistes a été adaptée pour les côtes charentaises et celles du Pays Basque.</w:t>
      </w:r>
    </w:p>
    <w:p>
      <w:pPr>
        <w:jc w:val="both"/>
      </w:pPr>
      <w:r>
        <w:rPr/>
        <w:t xml:space="preserve">L’indicateur a été construit à partir d’un jeu de données limité (huit sites situés à l’écart de perturbations au sein de huit masses d’eau réparties en Bretagne et Normandie). La grille de classement est cependant validée dans le cadre de l’exercice européen d’intercalibration. L’application en France devra être assortie d’une évaluation des incertitudes liées à cet outil, afin de pondérer si besoin le classement brut indiqué par cette méthode.</w:t>
      </w:r>
    </w:p>
    <w:p>
      <w:pPr/>
      <w:r>
        <w:rPr>
          <w:color w:val="B79247"/>
          <w:sz w:val="22"/>
          <w:szCs w:val="22"/>
          <w:b w:val="1"/>
          <w:bCs w:val="1"/>
        </w:rPr>
        <w:t xml:space="preserve">Pistes d'amélioration</w:t>
      </w:r>
    </w:p>
    <w:p>
      <w:pPr>
        <w:jc w:val="both"/>
      </w:pPr>
      <w:r>
        <w:rPr/>
        <w:t xml:space="preserve">L’indicateur est potentiellement sensible à des évolutions induites par le changement climatique, comme par exemple les proliférations de brouteurs. Une étude spécifique à ce sujet devrait être menée.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Ar Gall E., Le Duff M., Sauriau P.-G., De Casamajor M.-N., Gevaert F., Poisson E., Hacquebart P., Joncourt Y., Barillé A.-L., Buchet R., Bréret M., Miossec L., 2016, Implementation of a new index to assess intertidal seaweed communities as bioindicators for the European Water Framework Directory, Ecological Indicators, vol. 60, 162-173p.</w:t>
      </w:r>
    </w:p>
    <w:p>
      <w:pPr/>
      <w:r>
        <w:rPr/>
        <w:t xml:space="preserve">Ar Gall E., Le Duff M., 2020, Développement de l’indice « macroalgues benthiques intertidales et faune associée » pour la mise en œuvre de la DCSMM (habitats rocheux intertidaux à dominance macroalgale), Rapport final, IUEM-LEMAR, contrat R&amp;D OFB, 120p.</w:t>
      </w:r>
    </w:p>
    <w:p>
      <w:pPr/>
      <w:r>
        <w:rPr/>
        <w:t xml:space="preserve">Ar Gall E., Le Duff M., 2021, Révision de la surveillance MEC (intérêt d’une deuxième saison), Rapport final., IUEM-LEMAR, contrat R&amp;D OFB, 23p.</w:t>
      </w:r>
    </w:p>
    <w:p>
      <w:pPr/>
      <w:r>
        <w:rPr/>
        <w:t xml:space="preserve">Bazin P., Mérou N., Ubertini M., POS3IDON, 2022, Les champs de macroalgues intertidales à l’échelle du Parc naturel marin de l’estuaire de la Gironde et de la mer des Pertuis : synthèse des connaissances et état écologique depuis la mise en place des suivis DCE (2007), Projet CoEHCo, Rapport de Synthèse, 143p.</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De Casamajor M.-N., Lissardy M., Sanchez F., Lalanne Y., 2022, Suivi DCE 2021 Macroalgues Intertidales pour la masse d’eau côtière FRFC11 « Côte basque », Rapport Ifremer ODE/LITTORAL/LERAR/22.0004, 58p.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6D24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51E44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18F36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