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 Indicateur invertébrés benthiques de substrats meubles intertidaux et subtidaux</w:t>
      </w:r>
    </w:p>
    <w:p>
      <w:pPr/>
      <w:r>
        <w:rPr/>
        <w:t xml:space="preserve">Version du 06/10/2025 à 14:57:06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Benjamin Guichard (PATRINAT)</w:t>
      </w:r>
    </w:p>
    <w:p>
      <w:pPr/>
      <w:r>
        <w:rPr>
          <w:color w:val="0087a5"/>
          <w:sz w:val="26"/>
          <w:szCs w:val="26"/>
          <w:b w:val="1"/>
          <w:bCs w:val="1"/>
          <w:caps w:val="0"/>
        </w:rPr>
        <w:t xml:space="preserve">Définitions et objectifs</w:t>
      </w:r>
    </w:p>
    <w:p>
      <w:pPr>
        <w:jc w:val="both"/>
      </w:pPr>
      <w:r>
        <w:rPr/>
        <w:t xml:space="preserve">L’indicateur M-AMBI (Multivariate AZTI’s Marine Biotic Index) est l'indicateur réglementaire mobilisé au titre de la Directive Cadre sur l'Eau (DCE,2000/60/CE) pour évaluer l'élément de qualité biologique « Macro-Invertébrés Benthiques (MIB) de substrats meubles » intertidaux et subtidaux sur les façades Atlantique et Manche - Mer du Nord pour les masses d'eau côtière (MEC). Le M-AMBI est également utilisé au titre d’OSPAR pour renseigner l’indicateur BH2a (Nutrient and organic enrichment). Cet indicateur est aussi calculé à l'échelle des masses d’eau côtière pour renseigner le critère D5C8 au cycle 3 DCSMM. Il a également été utilisé pour l’évaluation des habitats sédimentaires médiolittoraux et infralittoraux au titre de la DCSMM (Robert </w:t>
      </w:r>
      <w:r>
        <w:rPr>
          <w:i w:val="1"/>
          <w:iCs w:val="1"/>
        </w:rPr>
        <w:t xml:space="preserve">et al</w:t>
      </w:r>
      <w:r>
        <w:rPr/>
        <w:t xml:space="preserve">. 2023).</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robuste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 M-AMBI est applicable à de nombreux habitats benthiques de substrats meubles. Il n'est pas spécifique à un habitat ou à un groupe d'habitats.</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M-AMBI utilise la diversité et l’abondance des taxa d’invertébrés benthiques pour évaluer l'état de santé des habitats à substrat meuble des masses d’eau côtière, au regard de la pression d’eutrophisation (enrichissement du milieu en MO).</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br/>
      <w:r>
        <w:rPr/>
        <w:t xml:space="preserve">OSPAR [Convention pour la protection du milieu marin de l'Atlantique du Nord-Est]</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w:t>
      </w:r>
    </w:p>
    <w:p>
      <w:pPr/>
      <w:r>
        <w:rPr>
          <w:b w:val="1"/>
          <w:bCs w:val="1"/>
        </w:rPr>
        <w:t xml:space="preserve">Source des données</w:t>
      </w:r>
    </w:p>
    <w:p>
      <w:pPr/>
      <w:r>
        <w:rPr>
          <w:b w:val="1"/>
          <w:bCs w:val="1"/>
        </w:rPr>
        <w:t xml:space="preserve">Stratégie spatiale</w:t>
      </w:r>
    </w:p>
    <w:p>
      <w:pPr/>
      <w:r>
        <w:rPr/>
        <w:t xml:space="preserve">Dans le cadre de la DCE, 84 sites sont suivis sur la façade Manche-Atlantique.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Pour chaque site, une fiche terrain formatée contenant les métadonnées de l'échantillonnage doit être complétée (Garcia et al. 2014).</w:t>
      </w:r>
    </w:p>
    <w:p>
      <w:pPr/>
      <w:r>
        <w:rPr/>
        <w:t xml:space="preserve">	</w:t>
      </w:r>
    </w:p>
    <w:p>
      <w:pPr>
        <w:numPr>
          <w:ilvl w:val="0"/>
          <w:numId w:val="1"/>
        </w:numPr>
      </w:pPr>
      <w:r>
        <w:rPr/>
        <w:t xml:space="preserve">Prélèvements des échantillons :</w:t>
      </w:r>
    </w:p>
    <w:p>
      <w:pPr>
        <w:jc w:val="both"/>
      </w:pPr>
      <w:r>
        <w:rPr/>
        <w:t xml:space="preserve">Pour chaque prélèvement décrit suivant, une photo annotée du prélèvement doit être effectuée. Le type biosédimentaire est également annoté pour vérifier qu'il correspond aux campagnes précédentes.</w:t>
      </w:r>
    </w:p>
    <w:p>
      <w:pPr>
        <w:jc w:val="both"/>
      </w:pPr>
      <w:r>
        <w:rPr>
          <w:u w:val="single"/>
        </w:rPr>
        <w:t xml:space="preserve">- Échantillons de macrofaune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 Echantillons pour l'étude de la granulométrie (GR) et la matière organique totale (MO)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48h pour sécher entièrement l'échantillon. L'ensemble est pesé une deuxième fois (Msec). La différence entre les deux pesées permet d'obtenir la quantité d'eau (Meau). La quantité de sel est estimée en considérant la salinité de l'eau à 35 g/L (Msel(g) = Meau (L) ×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(Muxika et al. 2007),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 ;</w:t>
      </w:r>
    </w:p>
    <w:p>
      <w:pPr>
        <w:jc w:val="center"/>
      </w:pPr>
      <w:r>
        <w:rPr/>
        <w:t xml:space="preserve">Equation 2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 S : le nombre total ou cardinal de la liste d’espèces présentes.</w:t>
      </w:r>
    </w:p>
    <w:p>
      <w:pPr>
        <w:jc w:val="both"/>
      </w:pPr>
      <w:r>
        <w:rPr/>
        <w:t xml:space="preserve">Suivant Garcia et al. (2014)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3). Pour chacun d’eux est calculée la distance qui le sépare du point le plus dégradé, en considérant que le segment de droite du point le plus dégradé à celui du meilleur état, a une longueur de 1. Cette distance bornée par 0 et 1 est le M-AMBI.</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l’indicateur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et à l’échelle de la façade « Manche-Atlantique » afin de répondre au mieux à la recommandation d’avoir au minimum 50 stations pour stabiliser l’AF (cf. Borja et al., 2008b).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jc w:val="both"/>
      </w:pPr>
      <w:r>
        <w:rPr/>
        <w:t xml:space="preserve">En Manche - Mer du Nord, il n’existe plus d’écosystèmes exempts de perturbations anthropiques. Ce constat est particulièrement vrai pour la zone côtière. Les données dites historiques disponibles étant souvent malgré tout trop récentes, les conditions de références ont dû être définies à partir de jugements d’experts. La philosophie a été de définir, pour les communautés benthiques côtières de sables fins plus ou moins envasés (intertidales et subtidales), les conditions de référence pour les trois paramètres employés dans le calcul du M-AMBI (richesse spécifique, diversité de Shannon-Weaver, AMBI) et de s’affranchir de l’impossible, ou tout au moins très délicate, définition de sites de références. Une analyse multivariée réalisée à partir de l’analyse des jeux de données existants sur les façades Atlantique et Manche - Mer du Nord, a montré que les valeurs maximales de ces trois paramètres diffèrent peu d’une façade à l’autre. Des valeurs de référence ont donc été définies pour les trois types d’habitats hydro-sédimentaires, rencontrés sur le littoral des façades Manche et Atlantique : (1) les sables fins plus ou moins envasés subtidaux, (2) les sables fins plus ou moins envasés intertidaux et (3) les sables fins battus. Les valeurs relatives au très bon état pour les trois paramètres intégrés dans le calcul du M-AMBI, correspondent au percentile 95 des valeurs maximales observées et sont reportées dans le tableau 3.</w:t>
      </w:r>
    </w:p>
    <w:p>
      <w:pPr/>
      <w:r>
        <w:rPr/>
        <w:t xml:space="preserve">Tableau 3 : Conditions de référence applicables pour le calcul de la valeur de M-AMBI dans les masses d’eaux côtières pour les façades Atlantique et Manche - Mer du Nord (d’après Desroy et al. 2010).</w:t>
      </w:r>
    </w:p>
    <w:p>
      <w:pPr>
        <w:jc w:val="center"/>
        <w:spacing w:after="180"/>
      </w:pPr>
      <w:r>
        <w:pict>
          <v:shape type="#_x0000_t75" stroked="f" style="width:836pt; height:38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La grille de lecture du M-AMBI (Tableau 4), telle qu’adoptée par la France au sein du GIG-NEA, est la suivante (arrêté du 25 janvier 2010) :</w:t>
      </w:r>
    </w:p>
    <w:p>
      <w:pPr>
        <w:jc w:val="both"/>
      </w:pPr>
    </w:p>
    <w:p>
      <w:pPr/>
      <w:r>
        <w:rPr/>
        <w:t xml:space="preserve">Tableau 4 : Grille d’EQR retenue pour l’évaluation de qualité « Invertébrés benthiques » dans les masses d’eaux côtières pour les façades Atlantique et Manche - Mer du Nord  (arrêté du 25/01/2010).</w:t>
      </w:r>
    </w:p>
    <w:p>
      <w:pPr>
        <w:jc w:val="center"/>
        <w:spacing w:after="180"/>
      </w:pPr>
      <w:r>
        <w:pict>
          <v:shape type="#_x0000_t75" stroked="f" style="width:650pt; height:181pt; margin-left:0pt; margin-top:0pt; mso-position-horizontal:left; mso-position-vertical:top; mso-position-horizontal-relative:char; mso-position-vertical-relative:line;">
            <w10:wrap type="inline"/>
            <v:imagedata r:id="rId15" o:title=""/>
          </v:shape>
        </w:pict>
      </w:r>
      <w:r>
        <w:rPr/>
        <w:t xml:space="preserve"> </w:t>
      </w:r>
    </w:p>
    <w:p>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Le calcul du M-AMBI est effectué par façade du littoral français : Manche - Mer du Nord d’une part, et Atlantique d’autre part. La valeur du M-AMBI retenue pour une masse d’eau donnée correspond à celle observée à la station échantillonnée dans cette masse d’eau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côtière et pour les façades Atlantique et Manche - Mer du Nord. Un autre indicateur a été choisi pour la Méditerranée (AMBI) et pour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Le M-AMBI ne permet ni d'évaluer les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Garcia A., Desroy N., Le Mao P., 2015, Contrôle de surveillance benthique de la Directive Cadre sur l'Eau (2000/60/CE), année 2014, District Artois-Picardie, Rapport fremer/ODE/LITTORAL/LERBN-15-011, 45p.</w:t>
      </w:r>
    </w:p>
    <w:p>
      <w:pPr/>
      <w:r>
        <w:rPr/>
        <w:t xml:space="preserve">Grall J., Hily C., 2003, Echantillonnage quantitatif des biocénoses subtidales des fonds meubles, Fiche technique Rebent FT01-2003-01, 7p.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0A5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0018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2026-08-21T03:56:48+02:00</dcterms:created>
  <dcterms:modified xsi:type="dcterms:W3CDTF">2026-08-21T03:56:48+02:00</dcterms:modified>
</cp:coreProperties>
</file>

<file path=docProps/custom.xml><?xml version="1.0" encoding="utf-8"?>
<Properties xmlns="http://schemas.openxmlformats.org/officeDocument/2006/custom-properties" xmlns:vt="http://schemas.openxmlformats.org/officeDocument/2006/docPropsVTypes"/>
</file>