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AMBI - Indicateur invertébrés benthiques de substrats meubles infralittoraux</w:t>
      </w:r>
    </w:p>
    <w:p>
      <w:pPr/>
      <w:r>
        <w:rPr/>
        <w:t xml:space="preserve">Version du 06/10/2025 à 13:35:06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L’indicateur AMBI (AZTI’s Marine Biotic Index) est l'indicateur réglementaire au titre de la Directive Cadre sur l'Eau (DCE,2000/60/CE) pour évaluer l'élément de qualité biologique « Macro-Invertébrés Benthiques (MIB) de substrats meubles infralittoraux » sur la façade Méditerranée pour les masses d'eau côtière (MEC). Cet indicateur a été mobilisé au cycle 3 de la DCSMM pour renseigner le critère D5C8 (macrofaune benthique) à l'échelle des masses d’eau côtière. Cet indicateur a également été utilisé pour l’évaluation des habitats sédimentaires infralittoraux côtiers au titre de la DCSMM (cycle 3 ; Robert et al. 2023).</w:t>
      </w:r>
    </w:p>
    <w:p>
      <w:pPr>
        <w:jc w:val="both"/>
      </w:pPr>
      <w:r>
        <w:rPr/>
        <w:t xml:space="preserve">Cet indicateur développé par Borja et al. (2000) permet de prendre en compte la diversité des taxa et leur polluo-sensibilité face à un enrichissement en matière organique. Cette méthode permet de mettre en évidence un état de perturbation des communautés soumises aux pressions d'eutrophisation et de contaminants.</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L’AMBI est applicable à de nombreux habitats benthiques de substrats meubles. Il n'est pas spécifique à un habitat ou à un groupe d'habitats.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AMBI utilise la composition spécifique et l’abondance relative des invertébrés pour évaluer l'état de santé des habitats de substrat meuble des masses d’eau côtière (MEC), au regard de la pression d’eutrophisation au niveau de la façade Méd.</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Borja A., Franco J., Pérez V., 2000, A marine biotic index to establish the ecological quality of soft-bottom benthos within European estuarine and coastal environments, Marine Pollution Bulletin, vol. 40, (n°12), 1100-1114p.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de l’AMBI</w:t>
      </w:r>
    </w:p>
    <w:p>
      <w:pPr/>
      <w:r>
        <w:rPr>
          <w:b w:val="1"/>
          <w:bCs w:val="1"/>
        </w:rPr>
        <w:t xml:space="preserve">Source des données</w:t>
      </w:r>
    </w:p>
    <w:p>
      <w:pPr/>
      <w:r>
        <w:rPr>
          <w:b w:val="1"/>
          <w:bCs w:val="1"/>
        </w:rPr>
        <w:t xml:space="preserve">Stratégie spatiale</w:t>
      </w:r>
    </w:p>
    <w:p>
      <w:pPr/>
      <w:r>
        <w:rPr/>
        <w:t xml:space="preserve">Dans le cadre de la DCE, 34 sites sont suivis sur la façade Méditerranée.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 : navire avec moyens de mise à l’eau de la benne, benne de surface d’échantillonnage égale à 0,1 m² (benne Day, Smith 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r>
        <w:rPr/>
        <w:t xml:space="preserve">	</w:t>
      </w:r>
    </w:p>
    <w:p>
      <w:pPr>
        <w:numPr>
          <w:ilvl w:val="0"/>
          <w:numId w:val="1"/>
        </w:numPr>
      </w:pPr>
      <w:r>
        <w:rPr/>
        <w:t xml:space="preserve">Prélèvements des échantillons :</w:t>
      </w:r>
    </w:p>
    <w:p>
      <w:pPr>
        <w:jc w:val="both"/>
      </w:pPr>
      <w:r>
        <w:rPr/>
        <w:t xml:space="preserve">Pour chaque prélèvement, une photo annotée du prélèvement doit être effectuée. Le type biosédimentaire est également annoté pour vérifier qu'il correspond aux campagnes précédentes.</w:t>
      </w:r>
    </w:p>
    <w:p>
      <w:pPr>
        <w:jc w:val="both"/>
      </w:pP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Le prélèvement de macrofaune est réalisé à l'aide d'une benne de surface d’échantillonnage unitaire égale à 0,1 m² (Day, Smith-McIntyre ou Van Veen). Le prélèvement est correct si la benne contient au moins cinq litres de sable ou dix litres de vase. En milieux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à l'aide d'un jet d'eau de mer de puissance moyenne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Meau(L) x 35). Pour les échantillons prélevés en milieu estuarien, voir Garcia et al. (2014).</w:t>
      </w:r>
    </w:p>
    <w:p>
      <w:pPr>
        <w:jc w:val="both"/>
      </w:pPr>
      <w:r>
        <w:rPr/>
        <w:t xml:space="preserve">Toute la procédure pour mesurer la granulométrie est précisée dans Garcia et al. (2014).</w:t>
      </w:r>
    </w:p>
    <w:p>
      <w:pPr>
        <w:jc w:val="both"/>
      </w:pP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L’AMBI consiste en une somme pondérée de la proportion d’abondance (Equation 1) assignée à chacun des cinq groupes de polluo-sensibilité, avec une pondération qui augmente avec le niveau de perturbation associé au groupe (Tableau 2).</w:t>
      </w:r>
    </w:p>
    <w:p>
      <w:pPr>
        <w:jc w:val="center"/>
      </w:pPr>
      <w:r>
        <w:rPr/>
        <w:t xml:space="preserve">Equation 1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 %GX : abondance relative des espèces appartenant au groupe X.</w:t>
      </w:r>
    </w:p>
    <w:p>
      <w:pPr>
        <w:jc w:val="both"/>
      </w:pPr>
      <w:r>
        <w:rPr/>
        <w:t xml:space="preserve">On peut consulter cette liste d’espèces sur le logiciel permettant de calculer les valeurs de l’indice (http://ambi.azti.es/index.php?lang=en).</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 </w:t>
      </w:r>
    </w:p>
    <w:p>
      <w:pPr>
        <w:jc w:val="both"/>
      </w:pPr>
      <w:r>
        <w:rPr/>
        <w:t xml:space="preserve">[La grille de lecture a été calibrée et est utilisée dans le cadre de l’évaluation réglementaire DCE.]</w:t>
      </w:r>
    </w:p>
    <w:p>
      <w:pPr>
        <w:jc w:val="both"/>
      </w:pPr>
      <w:r>
        <w:rPr/>
        <w:t xml:space="preserve">L’EQR est calculé comme suit :</w:t>
      </w:r>
    </w:p>
    <w:p>
      <w:pPr>
        <w:jc w:val="center"/>
      </w:pPr>
      <w:r>
        <w:rPr/>
        <w:t xml:space="preserve">Equation 2 : </w:t>
      </w:r>
      <w:r>
        <w:pict>
          <v:shape type="#_x0000_t75" stroked="f" style="width:311pt; height:8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Afin d’établir les valeurs de référence, les masses d’eau côtières en Méditerranée ont été réparties selon trois sous-régions : Occitanie, PACA et Corse. Chaque année, les valeurs de référence par sous-région sont réévaluées. Les valeurs de référence retenues sont celles des stations (hors pression anthropique) ayant eu l’AMBI le plus bas sur l’ensemble des années.</w:t>
      </w:r>
    </w:p>
    <w:p>
      <w:pPr>
        <w:jc w:val="both"/>
      </w:pPr>
      <w:r>
        <w:rPr/>
        <w:t xml:space="preserve">Les seuils de classes de l’EQR ont été fixés à dire d’expert, lors des travaux européens d’intercalibration.</w:t>
      </w:r>
    </w:p>
    <w:p>
      <w:pPr>
        <w:jc w:val="both"/>
      </w:pPr>
    </w:p>
    <w:p>
      <w:pPr>
        <w:jc w:val="center"/>
      </w:pPr>
      <w:r>
        <w:rPr/>
        <w:t xml:space="preserve">Tableau 3 : Grille d’EQR retenue pour l’évaluation de qualité « Invertébrés benthiques » dans les masses d’eaux côtières  (arrêté du 25/01/2010 ; MTES 2018).</w:t>
      </w:r>
    </w:p>
    <w:p>
      <w:pPr>
        <w:jc w:val="center"/>
        <w:spacing w:after="180"/>
      </w:pPr>
      <w:r>
        <w:pict>
          <v:shape type="#_x0000_t75" stroked="f" style="width:808pt; height:227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d’eaux côtières et pour la façade Méditerranée. Un autre indicateur a été choisi pour les façades Atlantique et Manche - Mer du Nord concernant les masses d’eau côtière (M-AMBI) et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répond principalement à un enrichissement en matière organique des sédiments, l’une des illustrations du phénomène d’eutrophisation (Borja et al. 2000). Cet enrichissement peut résulter d’un rejet ponctuel, ou de l’accumulation progressive par sédimentation de la colonne d’eau.</w:t>
      </w:r>
    </w:p>
    <w:p>
      <w:pPr/>
      <w:r>
        <w:rPr>
          <w:color w:val="B79247"/>
          <w:sz w:val="22"/>
          <w:szCs w:val="22"/>
          <w:b w:val="1"/>
          <w:bCs w:val="1"/>
        </w:rPr>
        <w:t xml:space="preserve">Principales limites</w:t>
      </w:r>
    </w:p>
    <w:p>
      <w:pPr>
        <w:jc w:val="both"/>
      </w:pPr>
      <w:r>
        <w:rPr/>
        <w:t xml:space="preserve">Les experts ont été en outre tous d’accord pour affirmer que l'indice AMBI est corrélé à l’enrichissement organique naturel mais la règle de sélection ne distingue pas l’enrichissement naturel de celui provoqué de manière anthropique.</w:t>
      </w:r>
    </w:p>
    <w:p>
      <w:pPr>
        <w:jc w:val="both"/>
      </w:pPr>
      <w:r>
        <w:rPr/>
        <w:t xml:space="preserve">L’AMBI ne permet pas d'évaluer l’impact des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FF7F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1EA6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