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AMBI - Indicateur invertébrés benthiques de substrats meubles infralittoraux</w:t>
      </w:r>
    </w:p>
    <w:p>
      <w:pPr/>
      <w:r>
        <w:rPr/>
        <w:t xml:space="preserve">Version du 06/10/2025 à 13:35:06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Alain Pibot (OFB)</w:t>
      </w:r>
    </w:p>
    <w:p>
      <w:pPr/>
      <w:r>
        <w:rPr>
          <w:color w:val="0087a5"/>
          <w:sz w:val="26"/>
          <w:szCs w:val="26"/>
          <w:b w:val="1"/>
          <w:bCs w:val="1"/>
          <w:caps w:val="0"/>
        </w:rPr>
        <w:t xml:space="preserve">Définitions et objectifs</w:t>
      </w:r>
    </w:p>
    <w:p>
      <w:pPr>
        <w:jc w:val="both"/>
      </w:pPr>
      <w:r>
        <w:rPr/>
        <w:t xml:space="preserve">L’indicateur AMBI (AZTI’s Marine Biotic Index) est l'indicateur réglementaire au titre de la Directive Cadre sur l'Eau (DCE,2000/60/CE) pour évaluer l'élément de qualité biologique « Macro-Invertébrés Benthiques (MIB) de substrats meubles infralittoraux » sur la façade Méditerranée pour les masses d'eau côtière (MEC). Cet indicateur a été mobilisé au cycle 3 de la DCSMM pour renseigner le critère D5C8 (macrofaune benthique) à l'échelle des masses d’eau côtière. Cet indicateur a également été utilisé pour l’évaluation des habitats sédimentaires infralittoraux côtiers au titre de la DCSMM (cycle 3 ; Robert et al. 2023).</w:t>
      </w:r>
    </w:p>
    <w:p>
      <w:pPr>
        <w:jc w:val="both"/>
      </w:pPr>
      <w:r>
        <w:rPr/>
        <w:t xml:space="preserve">Cet indicateur développé par Borja et al. (2000) permet de prendre en compte la diversité des taxa et leur polluo-sensibilité face à un enrichissement en matière organique. Cette méthode permet de mettre en évidence un état de perturbation des communautés soumises aux pressions d'eutrophisation et de contaminants.</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L’AMBI est applicable à de nombreux habitats benthiques de substrats meubles. Il n'est pas spécifique à un habitat ou à un groupe d'habitats.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L'indicateur AMBI utilise la composition spécifique et l’abondance relative des invertébrés pour évaluer l'état de santé des habitats de substrat meuble des masses d’eau côtière (MEC), au regard de la pression d’eutrophisation au niveau de la façade Méd.</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la façade Méditerranée.</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Borja A., Franco J., Pérez V., 2000, A marine biotic index to establish the ecological quality of soft-bottom benthos within European estuarine and coastal environments, Marine Pollution Bulletin, vol. 40, (n°12), 1100-1114p.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de l’AMBI</w:t>
      </w:r>
    </w:p>
    <w:p>
      <w:pPr/>
      <w:r>
        <w:rPr>
          <w:b w:val="1"/>
          <w:bCs w:val="1"/>
        </w:rPr>
        <w:t xml:space="preserve">Source des données</w:t>
      </w:r>
    </w:p>
    <w:p>
      <w:pPr/>
      <w:r>
        <w:rPr>
          <w:b w:val="1"/>
          <w:bCs w:val="1"/>
        </w:rPr>
        <w:t xml:space="preserve">Stratégie spatiale</w:t>
      </w:r>
    </w:p>
    <w:p>
      <w:pPr/>
      <w:r>
        <w:rPr/>
        <w:t xml:space="preserve">Dans le cadre de la DCE, 34 sites sont suivis sur la façade Méditerranée.</w:t>
      </w:r>
    </w:p>
    <w:p>
      <w:pPr/>
      <w:r>
        <w:rPr>
          <w:b w:val="1"/>
          <w:bCs w:val="1"/>
        </w:rPr>
        <w:t xml:space="preserve">Stratégie temporelle</w:t>
      </w:r>
    </w:p>
    <w:p>
      <w:pPr/>
      <w:r>
        <w:rPr/>
        <w:t xml:space="preserve">Les suivis sont réalisés tous les trois ans, au début du printemps (de mi-février à fin-avril). Des sites appelés « Sites d'appui » sont suivis tous les ans à la même période.</w:t>
      </w:r>
    </w:p>
    <w:p>
      <w:pPr/>
      <w:r>
        <w:rPr>
          <w:b w:val="1"/>
          <w:bCs w:val="1"/>
        </w:rPr>
        <w:t xml:space="preserve">Moyens humains et matériels</w:t>
      </w:r>
    </w:p>
    <w:p>
      <w:pPr/>
      <w:r>
        <w:rPr/>
        <w:t xml:space="preserve">Moyens humains : 2 à 3 agents formés.</w:t>
      </w:r>
      <w:br/>
      <w:r>
        <w:rPr/>
        <w:t xml:space="preserve">Moyens matériel : navire avec moyens de mise à l’eau de la benne, benne de surface d’échantillonnage égale à 0,1 m² (benne Day, Smith McIntyre ou Van Veen) ; dans le cas des milieux trop peu profonds pour pouvoir y accéder avec un navire équipé d’un mât de charge, une benne Ekman de surface d’échantillonnage égale à 0,023 m² pourra être utilisée ; tamis de vide de maille égale à 1mm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r>
        <w:rPr/>
        <w:t xml:space="preserve">	</w:t>
      </w:r>
    </w:p>
    <w:p>
      <w:pPr>
        <w:numPr>
          <w:ilvl w:val="0"/>
          <w:numId w:val="1"/>
        </w:numPr>
      </w:pPr>
      <w:r>
        <w:rPr/>
        <w:t xml:space="preserve">Prélèvements des échantillons :</w:t>
      </w:r>
    </w:p>
    <w:p>
      <w:pPr>
        <w:jc w:val="both"/>
      </w:pPr>
      <w:r>
        <w:rPr/>
        <w:t xml:space="preserve">Pour chaque prélèvement, une photo annotée du prélèvement doit être effectuée. Le type biosédimentaire est également annoté pour vérifier qu'il correspond aux campagnes précédentes.</w:t>
      </w:r>
    </w:p>
    <w:p>
      <w:pPr>
        <w:jc w:val="both"/>
      </w:pPr>
      <w:r>
        <w:rPr>
          <w:u w:val="single"/>
        </w:rPr>
        <w:t xml:space="preserve">Échantillons de macrofaune</w:t>
      </w:r>
      <w:r>
        <w:rPr/>
        <w:t xml:space="preserve"> :</w:t>
      </w:r>
    </w:p>
    <w:p>
      <w:pPr>
        <w:jc w:val="both"/>
      </w:pPr>
      <w:r>
        <w:rPr/>
        <w:t xml:space="preserve">Par site, trois stations sont suivies (A, B et C). Pour chaque station, trois passages sont nécessaires (1, 2 et 3), soit 9 prélèvements par site.</w:t>
      </w:r>
    </w:p>
    <w:p>
      <w:pPr>
        <w:jc w:val="both"/>
      </w:pPr>
      <w:r>
        <w:rPr/>
        <w:t xml:space="preserve">Le prélèvement de macrofaune est réalisé à l'aide d'une benne de surface d’échantillonnage unitaire égale à 0,1 m² (Day, Smith-McIntyre ou Van Veen). Le prélèvement est correct si la benne contient au moins cinq litres de sable ou dix litres de vase. En milieux trop peu profonds pour pouvoir y accéder avec un navire équipé d’un mât de charge, l'échantillonnage est réalisé à l'aide d'une benne Ekman (0,023 m²) ; dans ce cas, chaque prélèvement se compose de 4 coups de benne.</w:t>
      </w:r>
    </w:p>
    <w:p>
      <w:pPr>
        <w:jc w:val="both"/>
      </w:pPr>
      <w:r>
        <w:rPr/>
        <w:t xml:space="preserve">Les prélèvements sont ensuite tamisés sur 1 mm à l'aide d'un jet d'eau de mer de puissance moyenne sur le navire.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u w:val="single"/>
        </w:rPr>
        <w:t xml:space="preserve">Echantillons pour l'étude de la granulométrie (GR) et la matière organique totale (MO)</w:t>
      </w:r>
      <w:r>
        <w:rPr/>
        <w:t xml:space="preserve">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Les prélèvements sont réalisés directement à l'intérieur d'une benne supplémentaire sur chaque station. La benne doit rester fermée et l'accès du sédiment se fait par la trappe située dans la partie supérieure de la benne.</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 Tous les individus identifiés sont conservés dans l'éthanol pour une période de 12 ans.</w:t>
      </w:r>
    </w:p>
    <w:p>
      <w:pPr>
        <w:jc w:val="both"/>
      </w:pP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 h pour sécher entièrement l'échantillon. L'ensemble est pesé une deuxième fois (Msec). La différence entre les deux pesées permet d'obtenir la quantité d'eau (Meau). La quantité de sel est estimée en considérant la salinité de l'eau à 35 g/L (Msel(g) = Meau(L) x 35). Pour les échantillons prélevés en milieu estuarien, voir Garcia et al. (2014).</w:t>
      </w:r>
    </w:p>
    <w:p>
      <w:pPr>
        <w:jc w:val="both"/>
      </w:pPr>
      <w:r>
        <w:rPr/>
        <w:t xml:space="preserve">Toute la procédure pour mesurer la granulométrie est précisée dans Garcia et al. (2014).</w:t>
      </w:r>
    </w:p>
    <w:p>
      <w:pPr>
        <w:jc w:val="both"/>
      </w:pPr>
      <w:r>
        <w:rPr>
          <w:u w:val="single"/>
        </w:rPr>
        <w:t xml:space="preserve">Sédiments - Matière Organique</w:t>
      </w:r>
      <w:r>
        <w:rPr/>
        <w:t xml:space="preserve"> :</w:t>
      </w:r>
    </w:p>
    <w:p>
      <w:pPr>
        <w:jc w:val="both"/>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L’AMBI consiste en une somme pondérée de la proportion d’abondance (Equation 1) assignée à chacun des cinq groupes de polluo-sensibilité, avec une pondération qui augmente avec le niveau de perturbation associé au groupe (Tableau 2).</w:t>
      </w:r>
    </w:p>
    <w:p>
      <w:pPr>
        <w:jc w:val="center"/>
      </w:pPr>
      <w:r>
        <w:rPr/>
        <w:t xml:space="preserve">Equation 1 : </w:t>
      </w:r>
      <w:r>
        <w:pict>
          <v:shape type="#_x0000_t75" stroked="f" style="width:754pt; height:9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 %GX : abondance relative des espèces appartenant au groupe X.</w:t>
      </w:r>
    </w:p>
    <w:p>
      <w:pPr>
        <w:jc w:val="both"/>
      </w:pPr>
      <w:r>
        <w:rPr/>
        <w:t xml:space="preserve">On peut consulter cette liste d’espèces sur le logiciel permettant de calculer les valeurs de l’indice (http://ambi.azti.es/index.php?lang=en).</w:t>
      </w:r>
    </w:p>
    <w:p>
      <w:pPr>
        <w:jc w:val="both"/>
      </w:pP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r>
        <w:rPr/>
        <w:t xml:space="preserve"> </w:t>
      </w:r>
    </w:p>
    <w:p>
      <w:pPr>
        <w:jc w:val="both"/>
      </w:pPr>
      <w:r>
        <w:rPr/>
        <w:t xml:space="preserve">[La grille de lecture a été calibrée et est utilisée dans le cadre de l’évaluation réglementaire DCE.]</w:t>
      </w:r>
    </w:p>
    <w:p>
      <w:pPr>
        <w:jc w:val="both"/>
      </w:pPr>
      <w:r>
        <w:rPr/>
        <w:t xml:space="preserve">L’EQR est calculé comme suit :</w:t>
      </w:r>
    </w:p>
    <w:p>
      <w:pPr>
        <w:jc w:val="center"/>
      </w:pPr>
      <w:r>
        <w:rPr/>
        <w:t xml:space="preserve">Equation 2 : </w:t>
      </w:r>
      <w:r>
        <w:pict>
          <v:shape type="#_x0000_t75" stroked="f" style="width:311pt; height:8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Afin d’établir les valeurs de référence, les masses d’eau côtières en Méditerranée ont été réparties selon trois sous-régions : Occitanie, PACA et Corse. Chaque année, les valeurs de référence par sous-région sont réévaluées. Les valeurs de référence retenues sont celles des stations (hors pression anthropique) ayant eu l’AMBI le plus bas sur l’ensemble des années.</w:t>
      </w:r>
    </w:p>
    <w:p>
      <w:pPr>
        <w:jc w:val="both"/>
      </w:pPr>
      <w:r>
        <w:rPr/>
        <w:t xml:space="preserve">Les seuils de classes de l’EQR ont été fixés à dire d’expert, lors des travaux européens d’intercalibration.</w:t>
      </w:r>
    </w:p>
    <w:p>
      <w:pPr>
        <w:jc w:val="both"/>
      </w:pPr>
    </w:p>
    <w:p>
      <w:pPr>
        <w:jc w:val="center"/>
      </w:pPr>
      <w:r>
        <w:rPr/>
        <w:t xml:space="preserve">Tableau 3 : Grille d’EQR retenue pour l’évaluation de qualité « Invertébrés benthiques » dans les masses d’eaux côtières  (arrêté du 25/01/2010 ; MTES 2018).</w:t>
      </w:r>
    </w:p>
    <w:p>
      <w:pPr>
        <w:jc w:val="center"/>
        <w:spacing w:after="180"/>
      </w:pPr>
      <w:r>
        <w:pict>
          <v:shape type="#_x0000_t75" stroked="f" style="width:808pt; height:227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d’eaux côtières et pour la façade Méditerranée. Un autre indicateur a été choisi pour les façades Atlantique et Manche - Mer du Nord concernant les masses d’eau côtière (M-AMBI) et les masses d'eau de transition (BEQI-FR).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répond principalement à un enrichissement en matière organique des sédiments, l’une des illustrations du phénomène d’eutrophisation (Borja et al. 2000). Cet enrichissement peut résulter d’un rejet ponctuel, ou de l’accumulation progressive par sédimentation de la colonne d’eau.</w:t>
      </w:r>
    </w:p>
    <w:p>
      <w:pPr/>
      <w:r>
        <w:rPr>
          <w:color w:val="B79247"/>
          <w:sz w:val="22"/>
          <w:szCs w:val="22"/>
          <w:b w:val="1"/>
          <w:bCs w:val="1"/>
        </w:rPr>
        <w:t xml:space="preserve">Principales limites</w:t>
      </w:r>
    </w:p>
    <w:p>
      <w:pPr>
        <w:jc w:val="both"/>
      </w:pPr>
      <w:r>
        <w:rPr/>
        <w:t xml:space="preserve">Les experts ont été en outre tous d’accord pour affirmer que l'indice AMBI est corrélé à l’enrichissement organique naturel mais la règle de sélection ne distingue pas l’enrichissement naturel de celui provoqué de manière anthropique.</w:t>
      </w:r>
    </w:p>
    <w:p>
      <w:pPr>
        <w:jc w:val="both"/>
      </w:pPr>
      <w:r>
        <w:rPr/>
        <w:t xml:space="preserve">L’AMBI ne permet pas d'évaluer l’impact des pressions physiques ni celles liées à des changements de conditions hydrographiques, des espèces invasives ou le changement climatique.</w:t>
      </w:r>
    </w:p>
    <w:p>
      <w:pPr/>
      <w:r>
        <w:rPr>
          <w:color w:val="B79247"/>
          <w:sz w:val="22"/>
          <w:szCs w:val="22"/>
          <w:b w:val="1"/>
          <w:bCs w:val="1"/>
        </w:rPr>
        <w:t xml:space="preserve">Pistes d'amélioration</w:t>
      </w:r>
    </w:p>
    <w:p>
      <w:pPr>
        <w:jc w:val="both"/>
      </w:pPr>
      <w:r>
        <w:rPr/>
        <w:t xml:space="preserve">Pour avoir une vision plus large, il peut être utile de combiner l'AMBI avec l'indicateur GPBI. Le GPBI a fait l’objet d’une publication récente (Labrune et al. 2021), suggérant que cet indicateur serait plus sensible à l’hypoxie et à certaines perturbations physiques liées aux activités anthropiques telles que l’extraction, le dragage et le chalutage.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MTES, 2018, Guide relatif aux règles d’évaluation de l’état des eaux littorales dans le cadre de la DCE, MTES/DGALN/DEB/ELM3, 275p.</w:t>
      </w:r>
    </w:p>
    <w:p>
      <w:pPr/>
      <w:r>
        <w:rPr/>
        <w:t xml:space="preserve">Robert A., Boyé A., Janson A.-L., Beauvais S., Dedieu K., Blanchet H., Foveau A., Grall J., Jourde J., Labrune C., Pelaprat C., Thiébaut E., Sauriau P.-G., 2023, Evaluation quantitative des Grands Types d’Habitats Sables, Vases, Sédiments grossiers et hétérogènes de étages médiolittoraux et/ou infralittoraux. . In Boyé A., Robert A., Janson A.-L., Beauvais S. &amp; Dedieu K., (2023)., Évaluation de l’état écologique des abitats benthiques en France métropolitaine DCSMM. Rapport scientifique pour l’évaluation 2024 (cycle 3) du Bon État Écologique au titre du descripteur 1 – « Habitats Benthiques » de la DCSMM. Ifremer-PatriNat-OFB, 299-435p.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5BC18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3DC87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2026-07-06T23:15:00+02:00</dcterms:created>
  <dcterms:modified xsi:type="dcterms:W3CDTF">2026-07-06T23:15:00+02:00</dcterms:modified>
</cp:coreProperties>
</file>

<file path=docProps/custom.xml><?xml version="1.0" encoding="utf-8"?>
<Properties xmlns="http://schemas.openxmlformats.org/officeDocument/2006/custom-properties" xmlns:vt="http://schemas.openxmlformats.org/officeDocument/2006/docPropsVTypes"/>
</file>