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M-AMBI appliqué aux Lagunes - AMBI Multivarié - Indicateur invertébrés benthiques de substrats meubles pour les lagunes poly- et eu-halines</w:t>
      </w:r>
    </w:p>
    <w:p>
      <w:pPr/>
      <w:r>
        <w:rPr/>
        <w:t xml:space="preserve">Version du 06/10/2025 à 09:48:06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85535197686pt; margin-left:0pt; margin-top:0pt; mso-position-horizontal:left; mso-position-vertical:top; mso-position-horizontal-relative:char; mso-position-vertical-relative:line;">
            <w10:wrap type="inline"/>
            <v:imagedata r:id="rId7" o:title=""/>
          </v:shape>
        </w:pict>
      </w:r>
    </w:p>
    <w:p>
      <w:pPr/>
      <w:r>
        <w:rPr/>
        <w:t xml:space="preserve">Crédit : BIOTOPE</w:t>
      </w:r>
    </w:p>
    <w:p>
      <w:pPr/>
      <w:r>
        <w:rPr>
          <w:color w:val="0087a5"/>
          <w:sz w:val="26"/>
          <w:szCs w:val="26"/>
          <w:b w:val="1"/>
          <w:bCs w:val="1"/>
          <w:caps w:val="0"/>
        </w:rPr>
        <w:t xml:space="preserve">Définitions et objectifs</w:t>
      </w:r>
    </w:p>
    <w:p>
      <w:pPr>
        <w:jc w:val="both"/>
      </w:pPr>
      <w:r>
        <w:rPr/>
        <w:t xml:space="preserve">L'indicateur M-AMBI Lagunes est une adaptation de l'indicateur M-AMBI (« Multivariate AZTI’s Marine Biotic Index ») pour les habitats de substrats meubles des lagunes poly- et eu-halines. Il est l'indicateur réglementaire mobilisé au titre de la Directive Cadre sur l’Eau (DCE, 2000/60/CE) pour évaluer l’élément de qualité biologique « Macro-Invertébrés Benthiques (MIB) de substrats meubles » pour les masses d'eau de transition (MET) des lagunes poly- et eu-halines de la façade Méditerranée.</w:t>
      </w:r>
    </w:p>
    <w:p>
      <w:pPr>
        <w:jc w:val="both"/>
      </w:pPr>
      <w:r>
        <w:rPr/>
        <w:t xml:space="preserve">Cet indice multimétrique développé par Bald et al. (2005) et Muxika et al. (2007) permet de prendre en compte la diversité des taxa et leur polluo-sensibilité face à un enrichissement en matière organique, au travers de trois métriques : la Richesse, l’indice de Shannon-Weaver et l’indice AMBI (Borja et al. 2000). Cette méthode permet de mettre en évidence un état de perturbation.</w:t>
      </w:r>
    </w:p>
    <w:p>
      <w:pPr>
        <w:jc w:val="both"/>
      </w:pPr>
      <w:r>
        <w:rPr/>
        <w:t xml:space="preserve">L’indicateur est basé sur la mesure de quatre paramètres : la composition et l’abondance des taxa d’invertébrés, le ratio des taxa sensibles aux perturbations par rapport aux taxa insensibles et le niveau de diversité des taxa d’invertébrés.</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M-AMBI appliqué aux lagunes permet d’évaluer l'état de santé des communautés macrobenthiques de substrat meuble au regard de la pression d’eutrophisation au sein des masses d'eau de transition lagunes de la DCE.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 lagunes » sur la façade Méditerranée.</w:t>
      </w:r>
      <w:br/>
      <w:b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M-AMBI Lagunes</w:t>
      </w:r>
    </w:p>
    <w:p>
      <w:pPr/>
      <w:r>
        <w:rPr>
          <w:b w:val="1"/>
          <w:bCs w:val="1"/>
        </w:rPr>
        <w:t xml:space="preserve">Source des données</w:t>
      </w:r>
    </w:p>
    <w:p>
      <w:pPr/>
      <w:r>
        <w:rPr>
          <w:b w:val="1"/>
          <w:bCs w:val="1"/>
        </w:rPr>
        <w:t xml:space="preserve">Stratégie spatiale</w:t>
      </w:r>
    </w:p>
    <w:p>
      <w:pPr/>
      <w:r>
        <w:rPr/>
        <w:t xml:space="preserve">Dans le cadre de la DCE, 24 stations en lagunes poly- et eu-halines sont suivies sur la façade Méditerranée.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dans le cas des milieux trop peu profonds pour pouvoir y accéder avec un navire équipé d’un mât de charge comme c’est le cas dans les systèmes lagunaires, une benne Ekman de surface d’échantillonnage égale à 0,023 m² est utilisée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3,5-4,5 %) et tamponné au tétraborate de sodium ; étiquette d’identification.</w:t>
      </w:r>
    </w:p>
    <w:p>
      <w:pPr/>
      <w:r>
        <w:rPr>
          <w:b w:val="1"/>
          <w:bCs w:val="1"/>
        </w:rPr>
        <w:t xml:space="preserve">Protocole de récolte</w:t>
      </w:r>
    </w:p>
    <w:p>
      <w:pPr/>
      <w:r>
        <w:rPr/>
        <w:t xml:space="preserve">	</w:t>
      </w:r>
    </w:p>
    <w:p>
      <w:pPr>
        <w:numPr>
          <w:ilvl w:val="0"/>
          <w:numId w:val="1"/>
        </w:numPr>
      </w:pPr>
      <w:r>
        <w:rPr/>
        <w:t xml:space="preserve">Prélèvements des échantillons :</w:t>
      </w:r>
    </w:p>
    <w:p>
      <w:pPr>
        <w:jc w:val="both"/>
      </w:pPr>
      <w:r>
        <w:rPr/>
        <w:t xml:space="preserve">Pour chaque prélèvement, une photo annotée du prélèvement doit être effectuée. Le type biosédimentaire est également annoté pour vérifier qu'il correspond aux campagnes précédentes.</w:t>
      </w:r>
    </w:p>
    <w:p>
      <w:pPr>
        <w:jc w:val="both"/>
      </w:pP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En milieu lagunaire, l'échantillonnage est réalisé à l'aide d'une benne Ekman (surface unitaire d’échantillonnage = 0,023 m²). Chaque prélèvement se compose de 4 coups de benne pour avoisiner un prélèvement de surface total d’échantillonnage approximativement égale à 0,1 m².</w:t>
      </w:r>
    </w:p>
    <w:p>
      <w:pPr>
        <w:jc w:val="both"/>
      </w:pPr>
      <w:r>
        <w:rPr/>
        <w:t xml:space="preserve">Les prélèvements sont ensuite tamisés sur 1 mm soit directement dans l'eau par des mouvements circulaires sur le terrain (intertidal) soit à l'aide d'un jet d'eau de mer de puissance moyenne sur le navire (subtidal).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t xml:space="preserve"> </w:t>
      </w:r>
    </w:p>
    <w:p>
      <w:pPr>
        <w:jc w:val="both"/>
      </w:pP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subtidal, les prélèvements sont réalisés directement à l'intérieur d'une benne supplémentaire sur chaque station.</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Meau(L) × 35). Pour les échantillons prélevés en milieu estuarien voir Garcia et al. (2014).</w:t>
      </w:r>
    </w:p>
    <w:p>
      <w:pPr>
        <w:jc w:val="both"/>
      </w:pPr>
      <w:r>
        <w:rPr/>
        <w:t xml:space="preserve">Toute la procédure pour mesurer la granulométrie est précisée dans Garcia et al. (2014).</w:t>
      </w:r>
    </w:p>
    <w:p>
      <w:pPr>
        <w:jc w:val="both"/>
      </w:pP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M-AMBI lagunes, dérivé de l’AZTI’s Marine Biotic Index (AMBI ; Borja &amp; Muxika 2005 ; Borja et al. 2000), repose sur le calcul :</w:t>
      </w:r>
    </w:p>
    <w:p>
      <w:pPr>
        <w:jc w:val="both"/>
      </w:pPr>
      <w:r>
        <w:rPr/>
        <w:t xml:space="preserve">- de l’AMBI, qui consiste en une somme pondérée de la proportion d’abondance (Equation 2) assignée à chacun des cinq groupes de polluo-sensibilité, avec une pondération qui augmente avec le niveau de perturbation associé au groupe (Tableau 2).</w:t>
      </w:r>
    </w:p>
    <w:p>
      <w:pPr>
        <w:jc w:val="center"/>
      </w:pPr>
      <w:r>
        <w:rPr/>
        <w:t xml:space="preserve">Equation 2 : </w:t>
      </w:r>
      <w:r>
        <w:pict>
          <v:shape type="#_x0000_t75" stroked="f" style="width:1008pt; height:9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On peut consulter cette liste d’espèces sur le logiciel permettant de calculer les valeurs de l’indice (http://ambi.azti.es/index.php?lang=en).</w:t>
      </w: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de la richesse spécifique ;</w:t>
      </w:r>
    </w:p>
    <w:p>
      <w:pPr>
        <w:jc w:val="both"/>
      </w:pPr>
      <w:r>
        <w:rPr/>
        <w:t xml:space="preserve">- de l’indice de diversité de Shannon-Weaver (Equation 2).</w:t>
      </w:r>
    </w:p>
    <w:p>
      <w:pPr>
        <w:jc w:val="center"/>
      </w:pPr>
      <w:r>
        <w:rPr/>
        <w:t xml:space="preserve">Equation 3 : </w:t>
      </w:r>
      <w:r>
        <w:pict>
          <v:shape type="#_x0000_t75" stroked="f" style="width:182pt; height:8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pi : l’abondance proportionnelle ou pourcentage d’abondance d’une espèce présente (pi = ni/N).</w:t>
      </w:r>
    </w:p>
    <w:p>
      <w:pPr>
        <w:jc w:val="both"/>
      </w:pPr>
      <w:r>
        <w:rPr/>
        <w:t xml:space="preserve">- ni : le nombre d’individus dénombrés pour une espèce présente.</w:t>
      </w:r>
    </w:p>
    <w:p>
      <w:pPr>
        <w:jc w:val="both"/>
      </w:pPr>
      <w:r>
        <w:rPr/>
        <w:t xml:space="preserve">- N : le nombre total d’individus dénombrés, toute espèce confondue.</w:t>
      </w:r>
    </w:p>
    <w:p>
      <w:pPr>
        <w:jc w:val="both"/>
      </w:pPr>
      <w:r>
        <w:rPr/>
        <w:t xml:space="preserve">- S : le nombre total ou cardinal de la liste d’espèces présentes.</w:t>
      </w:r>
    </w:p>
    <w:p>
      <w:pPr>
        <w:jc w:val="both"/>
      </w:pPr>
      <w:r>
        <w:rPr/>
        <w:t xml:space="preserve">Suivant Garcia et al. (2015) « ces paramètres sont calculés pour tous les sites. Avec le jeu de données résultant, une Analyse Factorielle des Correspondances est réalisée, déterminant trois axes perpendiculaires minimisant le critère des moindres carrés. La projection dans ce nouveau repère des deux points de référence correspondant à l’état le plus dégradé et l’état le meilleur, permet de définir un nouvel axe sur lequel est projeté l’ensemble des points des sites (Figure 1). Pour chacun d’eux est calculée la distance qui le sépare du point le plus dégradé, en considérant que le segment de droite du point le plus dégradé à celui du meilleur état, a une longueur de 1. Cette distance bornée par 0 et 1 est le M-AMBI. ».</w:t>
      </w:r>
    </w:p>
    <w:p>
      <w:pPr>
        <w:jc w:val="center"/>
        <w:spacing w:after="180"/>
      </w:pPr>
      <w:r>
        <w:pict>
          <v:shape type="#_x0000_t75" stroked="f" style="width:400pt; height:216pt; margin-left:0pt; margin-top:0pt; mso-position-horizontal:left; mso-position-vertical:top; mso-position-horizontal-relative:char; mso-position-vertical-relative:line;">
            <w10:wrap type="inline"/>
            <v:imagedata r:id="rId12" o:title=""/>
          </v:shape>
        </w:pict>
      </w:r>
      <w:r>
        <w:rPr/>
        <w:t xml:space="preserve"> </w:t>
      </w:r>
    </w:p>
    <w:p>
      <w:pPr>
        <w:jc w:val="center"/>
      </w:pPr>
      <w:r>
        <w:rPr/>
        <w:t xml:space="preserve">Figure 1 : Définition du statut des sites échantillonnés par projection sur l'axe factoriel défini par les conditions de référence (d'après Bald et al. 2005).</w:t>
      </w:r>
    </w:p>
    <w:p>
      <w:pPr>
        <w:jc w:val="both"/>
      </w:pPr>
      <w:r>
        <w:rPr/>
        <w:t xml:space="preserve">Les trois métriques sont calculées pour chaque station.</w:t>
      </w:r>
    </w:p>
    <w:p>
      <w:pPr>
        <w:jc w:val="both"/>
      </w:pPr>
      <w:r>
        <w:rPr/>
        <w:t xml:space="preserve">Calcul de l’indice :</w:t>
      </w:r>
    </w:p>
    <w:p>
      <w:pPr>
        <w:jc w:val="both"/>
      </w:pPr>
      <w:r>
        <w:rPr/>
        <w:t xml:space="preserve">Deux stations fictives dites « de référence », correspondant au très bon et au mauvais état, sont ajoutées au jeu de données. Pour chaque métrique les valeurs sont standardisées : la moyenne est retranchée à chaque valeur puis le résultat est divisé par l’écart-type. Une analyse factorielle (AF) est ensuite réalisée :</w:t>
      </w:r>
    </w:p>
    <w:p>
      <w:pPr>
        <w:jc w:val="both"/>
      </w:pPr>
      <w:r>
        <w:rPr/>
        <w:t xml:space="preserve">- une analyse en composantes principales permet de déterminer trois axes perpendiculaires maximisant la somme des carrés des distances des points projetés dans le nouvel espace ;</w:t>
      </w:r>
    </w:p>
    <w:p>
      <w:pPr>
        <w:jc w:val="both"/>
      </w:pPr>
      <w:r>
        <w:rPr/>
        <w:t xml:space="preserve">- une rotation de type « Varimax » de ces trois axes permet de faciliter l’interprétation des axes en associant chacune des variables à un nombre réduit d’axes.</w:t>
      </w:r>
    </w:p>
    <w:p>
      <w:pPr>
        <w:jc w:val="both"/>
      </w:pPr>
      <w:r>
        <w:rPr/>
        <w:t xml:space="preserve">L’AF est réalisée par habitat, pour l’ensemble des années pour stabiliser l’AF (cf. Borja et al. 2008). La projection dans ce nouveau repère des valeurs des deux stations de référence permet de définir un nouvel axe sur lequel sont projetés orthogonalement l’ensemble des points correspondant aux stations. La position des points de référence sur ce nouvel axe est supposée être égale à 0 pour le mauvais état et à 1 pour le très bon état. La position de chaque projection sur cet axe correspond à la valeur du M-AMBI pour chaque station. À l’échelle de la masse d’eau et pour une année donnée, la valeur du M-AMBI correspond à la valeur observée à la station échantillonnée dans cette masse d’eau lorsqu’elle est unique ou à la moyenne des valeurs observées dans les différentes stations lorsqu’il y en a plusieurs.</w:t>
      </w:r>
    </w:p>
    <w:p>
      <w:pPr>
        <w:jc w:val="both"/>
      </w:pPr>
      <w:r>
        <w:rPr/>
        <w:t xml:space="preserve">Ces étapes de calcul sont faites à l’aide d’un script R.</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r>
        <w:rPr/>
        <w:t xml:space="preserve">	</w:t>
      </w:r>
    </w:p>
    <w:p>
      <w:pPr>
        <w:numPr>
          <w:ilvl w:val="0"/>
          <w:numId w:val="3"/>
        </w:numPr>
      </w:pPr>
      <w:r>
        <w:rPr/>
        <w:t xml:space="preserve">Valeurs seuils :</w:t>
      </w:r>
    </w:p>
    <w:p>
      <w:pPr>
        <w:jc w:val="both"/>
      </w:pPr>
      <w:r>
        <w:rPr/>
        <w:t xml:space="preserve">La borne haute du M-AMBI, correspondant à un EQR de 1, est assimilée à une valeur de référence. Elle est définie par une station « de référence », pour laquelle les valeurs de 3 métriques ont été définies comme indiqué ci-dessous. Cette station peut être réelle, si existante, et sinon une station « fictive » est introduite dans le jeu de données. La borne basse du M-AMBI, correspondant à un EQR de 0, est définie par défaut comme correspondant aux plus mauvaises valeurs théoriques de chaque métrique. Dans le jeu de données, ces valeurs peuvent correspondre à une station existante, sinon, une station fictive est introduite.</w:t>
      </w:r>
    </w:p>
    <w:p>
      <w:pPr>
        <w:jc w:val="center"/>
        <w:spacing w:after="180"/>
      </w:pPr>
      <w:r>
        <w:pict>
          <v:shape type="#_x0000_t75" stroked="f" style="width:970pt; height:111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Les seuils des classes d’EQR ont été définis à dire d’experts en se basant sur un pas régulier. Ils ont été ajustés suite à un exercice d’intercalibration et doivent être modifiés dans le prochain arrêté sur la surveillance DCE.</w:t>
      </w:r>
    </w:p>
    <w:p>
      <w:pPr>
        <w:jc w:val="center"/>
      </w:pPr>
      <w:r>
        <w:rPr/>
        <w:t xml:space="preserve">Tableau 3 : Grille d’EQR retenue pour l’évaluation de qualité « Invertébrés benthiques » pour les masses d’eau de transition lagunes sur la façade Méditerranée (MTES 2018).</w:t>
      </w:r>
    </w:p>
    <w:p>
      <w:pPr>
        <w:jc w:val="center"/>
        <w:spacing w:after="180"/>
      </w:pPr>
      <w:r>
        <w:pict>
          <v:shape type="#_x0000_t75" stroked="f" style="width:1073pt; height:301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Du fait de l’intégration d’une analyse factorielle des correspondances dans le calcul de l’indicateur (voir les recommandations de Borja et al. 2008), les résultats peuvent différer légèrement en fonction du nombre de stations utilisées dans le jeu de données employé. La valeur du M-AMBI retenue pour une lagune donnée correspond à celle observée à la station échantillonnée dans cette lagune (lorsqu’elle est unique) ou à la moyenne des valeurs relatives aux différentes stations (lorsqu’il y en a plusieurs).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d’eaux de transition (MET) lagunes et pour la façade Méditerranée. Un autre indicateur a été choisi pour les masses d’eau côtières (MEC) de la Méditerranée (AMBI), des MEC des façades Atlantique et Manche - Mer du Nord (M-AMBI) et des MET des façades Atlantique et Manche - Mer du Nord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M-AMBI intègre l’indicateur AMBI dans son calcul (Muxika et al. 2007). L’AMBI a été développé pour être sensible à l’enrichissement en matière organique (MO), l’une des illustrations du phénomène d’eutrophisation (Borja et al. 2000). L’indicateur montre une sensibilité vis-à-vis des pressions d’enrichissement en MO, que ce soit par un apport direct ou par un enrichissement indirect. L’indicateur montre aussi des corrélations significatives vis-à-vis de la contamination de certains métaux lourds et autres polluants (Borja et al. 2019).</w:t>
      </w:r>
    </w:p>
    <w:p>
      <w:pPr>
        <w:jc w:val="both"/>
      </w:pPr>
      <w:r>
        <w:rPr/>
        <w:t xml:space="preserve">Trois « proxys » des pressions ont été utilisés dans le cadre de l’intercalibration pour démontrer la sensibilité de l’indicateur aux perturbations du milieu : l’écart à la saturation en oxygène dissous (deltaO2sat), la concentration en chlorophylle a (μg/L de Chl a en moyenne estivale) et la concentration en azote total (μM/L de NT en moyenne estivale). Pour les lagunes poly et eu-halines, des relations significatives ont été établies entre l’indicateur M-AMBI et chacun de ces proxys (Buchet 2012).</w:t>
      </w:r>
    </w:p>
    <w:p>
      <w:pPr/>
      <w:r>
        <w:rPr>
          <w:color w:val="B79247"/>
          <w:sz w:val="22"/>
          <w:szCs w:val="22"/>
          <w:b w:val="1"/>
          <w:bCs w:val="1"/>
        </w:rPr>
        <w:t xml:space="preserve">Principales limites</w:t>
      </w:r>
    </w:p>
    <w:p>
      <w:pPr>
        <w:jc w:val="both"/>
      </w:pPr>
      <w:r>
        <w:rPr/>
        <w:t xml:space="preserve">Le M-AMBI lagunes ne permet pas d'évaluer les pressions liées à : des changements de conditions hydrographiques, des espèces invasives ou le changement climatique.</w:t>
      </w:r>
    </w:p>
    <w:p>
      <w:pPr>
        <w:jc w:val="both"/>
      </w:pPr>
      <w:r>
        <w:rPr/>
        <w:t xml:space="preserve">Une étude ultérieure, réalisée sur le jeu de données de la campagne DCE de 2009 (17 lagunes poly- et eu-halines) a permis de mettre en évidence que l’écart de salinité moyen entre la mer et la lagune est fortement corrélé négativement aux métriques de diversité et de richesse spécifique (coefficients de corrélation de Pearson ≤ -0,6), mais que la métrique de composition (AMBI) est en revanche très peu corrélée aux variables de pressions (Derolez et al. 2014).</w:t>
      </w:r>
    </w:p>
    <w:p>
      <w:pPr>
        <w:jc w:val="both"/>
      </w:pPr>
      <w:r>
        <w:rPr/>
        <w:t xml:space="preserve">L’outil ne s’applique qu’aux substrats meubles des lagunes poly-eu-halines, échantillonnés en zone centrale de la lagune.</w:t>
      </w:r>
    </w:p>
    <w:p>
      <w:pPr>
        <w:jc w:val="both"/>
      </w:pPr>
      <w:r>
        <w:rPr/>
        <w:t xml:space="preserve">Des conditions de validité concernant le nombre minimum de taxons (3) ou d’individus (3) par benne (réplicats), leur position de vie épigée ou endogée (Borja &amp; Muxika 2005), ainsi que le nombre de stations du jeu de données (50), sont requises pour assurer d’une part la représentativité des résultats et, d’autre part, leur validité statistique. De plus, l’AMBI ayant été mis au point pour les zones marines, cet indice présente des limites lorsqu’il est appliqué aux secteurs de salinité faible (estuaires, lagunes).</w:t>
      </w:r>
    </w:p>
    <w:p>
      <w:pPr/>
      <w:r>
        <w:rPr/>
        <w:t xml:space="preserve">L’attribution des espèces des lagunes aux groupes de polluo-sensibilité demanderait donc à être validée. Si le pourcentage d’espèces non assignées par le logiciel excède 20 %, les résultats sont à prendre avec précaution et s’il dépasse 50 %, l’AMBI et par conséquent le M-AMBI ne sont pas valides.</w:t>
      </w:r>
    </w:p>
    <w:p>
      <w:pPr/>
      <w:r>
        <w:rPr>
          <w:color w:val="B79247"/>
          <w:sz w:val="22"/>
          <w:szCs w:val="22"/>
          <w:b w:val="1"/>
          <w:bCs w:val="1"/>
        </w:rPr>
        <w:t xml:space="preserve">Pistes d'amélioration</w:t>
      </w:r>
    </w:p>
    <w:p>
      <w:pPr>
        <w:jc w:val="both"/>
      </w:pPr>
      <w:r>
        <w:rPr/>
        <w:t xml:space="preserve">Pour avoir une vision plus large, il peut être utile de combiner le M-AMBI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Bald J., Borja A., Muxika I., Franco J., Valencia V., 2005, Assessing reference conditions and physico-chemical status according to the European Water Framework Directive: a case-study from the Basque Country (Northern Spain), Marine Pollution Bulletin, vol. 50, (n°12), 1508-1522p.</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Muxika I., 2005, Guidelines for the use of AMBI (AZTI’s Marine Biotic Index) in the assessment of the benthic ecological quality, Marine Pollution Bulletin, vol. 50, 787 - 789p.</w:t>
      </w:r>
    </w:p>
    <w:p>
      <w:pPr/>
      <w:r>
        <w:rPr/>
        <w:t xml:space="preserve">Borja A., Mader J., Muxika I., Rodriguez J.G., Bald J., 2008, Using M-AMBI in assessing benthic quality within the Water Framework Directive: Some remarks and recommendations, Marine Pollution Bulletin, vol. 56, (n°7), 1377-1379p.</w:t>
      </w:r>
    </w:p>
    <w:p>
      <w:pPr/>
      <w:r>
        <w:rPr/>
        <w:t xml:space="preserve">Borja A., Chust G., Muxika I., 2019, Forever young: The successful story of a marine biotic index, Advances in Marine Biology, (n°82), 93-127p.</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Derolez V., Cadoret M., Fiandrino A., Munaron D., 2014, Bilan sur les principales pressions pesant sur les lagunes méditerranéennes et leurs liens avec l’état DCE. RST-LER/LR 14-20, Convention-cadre AERMC/Ifremer, 46p.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8DB9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2770F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29157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2026-08-21T17:41:20+02:00</dcterms:created>
  <dcterms:modified xsi:type="dcterms:W3CDTF">2026-08-21T17:41:20+02:00</dcterms:modified>
</cp:coreProperties>
</file>

<file path=docProps/custom.xml><?xml version="1.0" encoding="utf-8"?>
<Properties xmlns="http://schemas.openxmlformats.org/officeDocument/2006/custom-properties" xmlns:vt="http://schemas.openxmlformats.org/officeDocument/2006/docPropsVTypes"/>
</file>