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appliqué aux Lagunes - AMBI Multivarié - Indicateur invertébrés benthiques de substrats meubles pour les lagunes poly- et eu-halines</w:t>
      </w:r>
    </w:p>
    <w:p>
      <w:pPr/>
      <w:r>
        <w:rPr/>
        <w:t xml:space="preserve">Version du 06/10/2025 à 09:48:06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85535197686pt; margin-left:0pt; margin-top:0pt; mso-position-horizontal:left; mso-position-vertical:top; mso-position-horizontal-relative:char; mso-position-vertical-relative:line;">
            <w10:wrap type="inline"/>
            <v:imagedata r:id="rId7" o:title=""/>
          </v:shape>
        </w:pict>
      </w:r>
    </w:p>
    <w:p>
      <w:pPr/>
      <w:r>
        <w:rPr/>
        <w:t xml:space="preserve">Crédit : BIOTOPE</w:t>
      </w:r>
    </w:p>
    <w:p>
      <w:pPr/>
      <w:r>
        <w:rPr>
          <w:color w:val="0087a5"/>
          <w:sz w:val="26"/>
          <w:szCs w:val="26"/>
          <w:b w:val="1"/>
          <w:bCs w:val="1"/>
          <w:caps w:val="0"/>
        </w:rPr>
        <w:t xml:space="preserve">Définitions et objectifs</w:t>
      </w:r>
    </w:p>
    <w:p>
      <w:pPr>
        <w:jc w:val="both"/>
      </w:pPr>
      <w:r>
        <w:rPr/>
        <w:t xml:space="preserve">L'indicateur M-AMBI Lagunes est une adaptation de l'indicateur M-AMBI (« Multivariate AZTI’s Marine Biotic Index ») pour les habitats de substrats meubles des lagunes poly- et eu-halines. Il est l'indicateur réglementaire mobilisé au titre de la Directive Cadre sur l’Eau (DCE, 2000/60/CE) pour évaluer l’élément de qualité biologique « Macro-Invertébrés Benthiques (MIB) de substrats meubles » pour les masses d'eau de transition (MET) des lagunes poly- et eu-halines de la façade Méditerranée.</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permet de mettre en évidence un état de perturbation.</w:t>
      </w:r>
    </w:p>
    <w:p>
      <w:pPr>
        <w:jc w:val="both"/>
      </w:pPr>
      <w:r>
        <w:rPr/>
        <w:t xml:space="preserve">L’indicateur est basé sur la mesure de quatre paramètres : la composition et l’abondance des taxa d’invertébrés, le ratio des taxa sensibles aux perturbations par rapport aux taxa insensibles et le niveau de diversité des taxa d’invertébrés.</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III.1.1 – Biocénose euryhaline et eurytherme (Infralittoral)</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M-AMBI appliqué aux lagunes permet d’évaluer l'état de santé des communautés macrobenthiques de substrat meuble au regard de la pression d’eutrophisation au sein des masses d'eau de transition lagunes de la DCE.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de transition « lagunes » sur la façade Méditerranée.</w:t>
      </w:r>
      <w:br/>
      <w:b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 Lagunes</w:t>
      </w:r>
    </w:p>
    <w:p>
      <w:pPr/>
      <w:r>
        <w:rPr>
          <w:b w:val="1"/>
          <w:bCs w:val="1"/>
        </w:rPr>
        <w:t xml:space="preserve">Source des données</w:t>
      </w:r>
    </w:p>
    <w:p>
      <w:pPr/>
      <w:r>
        <w:rPr>
          <w:b w:val="1"/>
          <w:bCs w:val="1"/>
        </w:rPr>
        <w:t xml:space="preserve">Stratégie spatiale</w:t>
      </w:r>
    </w:p>
    <w:p>
      <w:pPr/>
      <w:r>
        <w:rPr/>
        <w:t xml:space="preserve">Dans le cadre de la DCE, 24 stations en lagunes poly- et eu-halines sont suivies sur la façade Méditerranée.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dans le cas des milieux trop peu profonds pour pouvoir y accéder avec un navire équipé d’un mât de charge comme c’est le cas dans les systèmes lagunaires, une benne Ekman de surface d’échantillonnage égale à 0,023 m² est utilisée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3,5-4,5 %) et tamponné au tétraborate de sodium ; étiquette d’identification.</w:t>
      </w:r>
    </w:p>
    <w:p>
      <w:pPr/>
      <w:r>
        <w:rPr>
          <w:b w:val="1"/>
          <w:bCs w:val="1"/>
        </w:rPr>
        <w:t xml:space="preserve">Protocole de récolte</w:t>
      </w:r>
    </w:p>
    <w:p>
      <w:pPr/>
      <w:r>
        <w:rPr/>
        <w:t xml:space="preserve">	</w:t>
      </w:r>
    </w:p>
    <w:p>
      <w:pPr>
        <w:numPr>
          <w:ilvl w:val="0"/>
          <w:numId w:val="1"/>
        </w:numPr>
      </w:pPr>
      <w:r>
        <w:rPr/>
        <w:t xml:space="preserve">Prélèvements des échantillons :</w:t>
      </w:r>
    </w:p>
    <w:p>
      <w:pPr>
        <w:jc w:val="both"/>
      </w:pPr>
      <w:r>
        <w:rPr/>
        <w:t xml:space="preserve">Pour chaque prélèvement, une photo annotée du prélèvement doit être effectuée. Le type biosédimentaire est également annoté pour vérifier qu'il correspond aux campagnes précédentes.</w:t>
      </w:r>
    </w:p>
    <w:p>
      <w:pPr>
        <w:jc w:val="both"/>
      </w:pPr>
      <w:r>
        <w:rPr>
          <w:u w:val="single"/>
        </w:rPr>
        <w:t xml:space="preserve">Échantillons de macrofaune</w:t>
      </w:r>
      <w:r>
        <w:rPr/>
        <w:t xml:space="preserve"> :</w:t>
      </w:r>
    </w:p>
    <w:p>
      <w:pPr>
        <w:jc w:val="both"/>
      </w:pPr>
      <w:r>
        <w:rPr/>
        <w:t xml:space="preserve">Par site, trois stations sont suivies (A, B et C). Pour chaque station, trois passages sont nécessaires (1, 2 et 3), soit 9 prélèvements par site.</w:t>
      </w:r>
    </w:p>
    <w:p>
      <w:pPr>
        <w:jc w:val="both"/>
      </w:pPr>
      <w:r>
        <w:rPr/>
        <w:t xml:space="preserve">En milieu lagunaire, l'échantillonnage est réalisé à l'aide d'une benne Ekman (surface unitaire d’échantillonnage = 0,023 m²). Chaque prélèvement se compose de 4 coups de benne pour avoisiner un prélèvement de surface total d’échantillonnage approximativement égale à 0,1 m².</w:t>
      </w:r>
    </w:p>
    <w:p>
      <w:pPr>
        <w:jc w:val="both"/>
      </w:pPr>
      <w:r>
        <w:rPr/>
        <w:t xml:space="preserve">Les prélèvements sont ensuite tamisés sur 1 mm soit directement dans l'eau par des mouvements circulaires sur le terrain (intertidal) soit à l'aide d'un jet d'eau de mer de puissance moyenne sur le navire (subtidal).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t xml:space="preserve"> </w:t>
      </w:r>
    </w:p>
    <w:p>
      <w:pPr>
        <w:jc w:val="both"/>
      </w:pPr>
      <w:r>
        <w:rPr>
          <w:u w:val="single"/>
        </w:rPr>
        <w:t xml:space="preserve">Echantillons pour l'étude de la granulométrie (GR) et la matière organique totale (MO)</w:t>
      </w:r>
      <w:r>
        <w:rPr/>
        <w:t xml:space="preserve">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subtidal, les prélèvements sont réalisés directement à l'intérieur d'une benne supplémentaire sur chaque station.</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 h pour sécher entièrement l'échantillon. L'ensemble est pesé une deuxième fois (Msec). La différence entre les deux pesées permet d'obtenir la quantité d'eau (Meau). La quantité de sel est estimée en considérant la salinité de l'eau à 35 g/L (Msel(g) = Meau(L) × 35). Pour les échantillons prélevés en milieu estuarien voir Garcia et al. (2014).</w:t>
      </w:r>
    </w:p>
    <w:p>
      <w:pPr>
        <w:jc w:val="both"/>
      </w:pPr>
      <w:r>
        <w:rPr/>
        <w:t xml:space="preserve">Toute la procédure pour mesurer la granulométrie est précisée dans Garcia et al. (2014).</w:t>
      </w:r>
    </w:p>
    <w:p>
      <w:pPr>
        <w:jc w:val="both"/>
      </w:pPr>
      <w:r>
        <w:rPr>
          <w:u w:val="single"/>
        </w:rPr>
        <w:t xml:space="preserve">Sédiments - Matière Organique</w:t>
      </w:r>
      <w:r>
        <w:rPr/>
        <w:t xml:space="preserve"> :</w:t>
      </w:r>
    </w:p>
    <w:p>
      <w:pPr>
        <w:jc w:val="both"/>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lagunes,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w:t>
      </w:r>
    </w:p>
    <w:p>
      <w:pPr>
        <w:jc w:val="center"/>
      </w:pPr>
      <w:r>
        <w:rPr/>
        <w:t xml:space="preserve">Equation 2 : </w:t>
      </w:r>
      <w:r>
        <w:pict>
          <v:shape type="#_x0000_t75" stroked="f" style="width:1008pt; height:94pt; margin-left:0pt; margin-top:0pt; mso-position-horizontal:left; mso-position-vertical:top; mso-position-horizontal-relative:char; mso-position-vertical-relative:line;">
            <w10:wrap type="inline"/>
            <v:imagedata r:id="rId9" o:title=""/>
          </v:shape>
        </w:pict>
      </w:r>
      <w:r>
        <w:rPr/>
        <w:t xml:space="preserve"> </w:t>
      </w:r>
    </w:p>
    <w:p>
      <w:pPr>
        <w:jc w:val="both"/>
      </w:pPr>
      <w:r>
        <w:rPr/>
        <w:t xml:space="preserve">On peut consulter cette liste d’espèces sur le logiciel permettant de calculer les valeurs de l’indice (http://ambi.azti.es/index.php?lang=en).</w:t>
      </w: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Avec :</w:t>
      </w:r>
    </w:p>
    <w:p>
      <w:pPr>
        <w:jc w:val="both"/>
      </w:pPr>
      <w:r>
        <w:rPr/>
        <w:t xml:space="preserve">- pi : l’abondance proportionnelle ou pourcentage d’abondance d’une espèce présente (pi = ni/N).</w:t>
      </w:r>
    </w:p>
    <w:p>
      <w:pPr>
        <w:jc w:val="both"/>
      </w:pPr>
      <w:r>
        <w:rPr/>
        <w:t xml:space="preserve">- ni : le nombre d’individus dénombrés pour une espèce présente.</w:t>
      </w:r>
    </w:p>
    <w:p>
      <w:pPr>
        <w:jc w:val="both"/>
      </w:pPr>
      <w:r>
        <w:rPr/>
        <w:t xml:space="preserve">- N : le nombre total d’individus dénombrés, toute espèce confondue.</w:t>
      </w:r>
    </w:p>
    <w:p>
      <w:pPr>
        <w:jc w:val="both"/>
      </w:pPr>
      <w:r>
        <w:rPr/>
        <w:t xml:space="preserve">- S : le nombre total ou cardinal de la liste d’espèces présentes.</w:t>
      </w:r>
    </w:p>
    <w:p>
      <w:pPr>
        <w:jc w:val="both"/>
      </w:pPr>
      <w:r>
        <w:rPr/>
        <w:t xml:space="preserve">Suivant Garcia et al. (2015) «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1). Pour chacun d’eux est calculée la distance qui le sépare du point le plus dégradé, en considérant que le segment de droite du point le plus dégradé à celui du meilleur état, a une longueur de 1. Cette distance bornée par 0 et 1 est le M-AMBI. ».</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2"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l’indice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pour stabiliser l’AF (cf. Borja et al. 2008).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r>
        <w:rPr/>
        <w:t xml:space="preserve">	</w:t>
      </w:r>
    </w:p>
    <w:p>
      <w:pPr>
        <w:numPr>
          <w:ilvl w:val="0"/>
          <w:numId w:val="3"/>
        </w:numPr>
      </w:pPr>
      <w:r>
        <w:rPr/>
        <w:t xml:space="preserve">Valeurs seuils :</w:t>
      </w:r>
    </w:p>
    <w:p>
      <w:pPr>
        <w:jc w:val="both"/>
      </w:pPr>
      <w:r>
        <w:rPr/>
        <w:t xml:space="preserve">La borne haute du M-AMBI, correspondant à un EQR de 1, est assimilée à une valeur de référence. Elle est définie par une station « de référence », pour laquelle les valeurs de 3 métriques ont été définies comme indiqué ci-dessous. Cette station peut être réelle, si existante, et sinon une station « fictive » est introduite dans le jeu de données. La borne basse du M-AMBI, correspondant à un EQR de 0, est définie par défaut comme correspondant aux plus mauvaises valeurs théoriques de chaque métrique. Dans le jeu de données, ces valeurs peuvent correspondre à une station existante, sinon, une station fictive est introduite.</w:t>
      </w:r>
    </w:p>
    <w:p>
      <w:pPr>
        <w:jc w:val="center"/>
        <w:spacing w:after="180"/>
      </w:pPr>
      <w:r>
        <w:pict>
          <v:shape type="#_x0000_t75" stroked="f" style="width:970pt; height:111pt; margin-left:0pt; margin-top:0pt; mso-position-horizontal:left; mso-position-vertical:top; mso-position-horizontal-relative:char; mso-position-vertical-relative:line;">
            <w10:wrap type="inline"/>
            <v:imagedata r:id="rId13" o:title=""/>
          </v:shape>
        </w:pict>
      </w:r>
      <w:r>
        <w:rPr/>
        <w:t xml:space="preserve"> </w:t>
      </w:r>
    </w:p>
    <w:p>
      <w:pPr>
        <w:jc w:val="both"/>
      </w:pPr>
      <w:r>
        <w:rPr/>
        <w:t xml:space="preserve">Les seuils des classes d’EQR ont été définis à dire d’experts en se basant sur un pas régulier. Ils ont été ajustés suite à un exercice d’intercalibration et doivent être modifiés dans le prochain arrêté sur la surveillance DCE.</w:t>
      </w:r>
    </w:p>
    <w:p>
      <w:pPr>
        <w:jc w:val="center"/>
      </w:pPr>
      <w:r>
        <w:rPr/>
        <w:t xml:space="preserve">Tableau 3 : Grille d’EQR retenue pour l’évaluation de qualité « Invertébrés benthiques » pour les masses d’eau de transition lagunes sur la façade Méditerranée (MTES 2018).</w:t>
      </w:r>
    </w:p>
    <w:p>
      <w:pPr>
        <w:jc w:val="center"/>
        <w:spacing w:after="180"/>
      </w:pPr>
      <w:r>
        <w:pict>
          <v:shape type="#_x0000_t75" stroked="f" style="width:1073pt; height:301pt; margin-left:0pt; margin-top:0pt; mso-position-horizontal:left; mso-position-vertical:top; mso-position-horizontal-relative:char; mso-position-vertical-relative:line;">
            <w10:wrap type="inline"/>
            <v:imagedata r:id="rId14" o:title=""/>
          </v:shape>
        </w:pict>
      </w:r>
      <w:r>
        <w:rPr/>
        <w:t xml:space="preserve"> </w:t>
      </w:r>
    </w:p>
    <w:p>
      <w:pPr>
        <w:jc w:val="both"/>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La valeur du M-AMBI retenue pour une lagune donnée correspond à celle observée à la station échantillonnée dans cette lagune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d’eaux de transition (MET) lagunes et pour la façade Méditerranée. Un autre indicateur a été choisi pour les masses d’eau côtières (MEC) de la Méditerranée (AMBI), des MEC des façades Atlantique et Manche - Mer du Nord (M-AMBI) et des MET des façades Atlantique et Manche - Mer du Nord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jc w:val="both"/>
      </w:pPr>
      <w:r>
        <w:rPr/>
        <w:t xml:space="preserve">Trois « proxys » des pressions ont été utilisés dans le cadre de l’intercalibration pour démontrer la sensibilité de l’indicateur aux perturbations du milieu : l’écart à la saturation en oxygène dissous (deltaO2sat), la concentration en chlorophylle a (μg/L de Chl a en moyenne estivale) et la concentration en azote total (μM/L de NT en moyenne estivale). Pour les lagunes poly et eu-halines, des relations significatives ont été établies entre l’indicateur M-AMBI et chacun de ces proxys (Buchet 2012).</w:t>
      </w:r>
    </w:p>
    <w:p>
      <w:pPr/>
      <w:r>
        <w:rPr>
          <w:color w:val="B79247"/>
          <w:sz w:val="22"/>
          <w:szCs w:val="22"/>
          <w:b w:val="1"/>
          <w:bCs w:val="1"/>
        </w:rPr>
        <w:t xml:space="preserve">Principales limites</w:t>
      </w:r>
    </w:p>
    <w:p>
      <w:pPr>
        <w:jc w:val="both"/>
      </w:pPr>
      <w:r>
        <w:rPr/>
        <w:t xml:space="preserve">Le M-AMBI lagunes ne permet pas d'évaluer les pressions liées à : des changements de conditions hydrographiques, des espèces invasives ou le changement climatique.</w:t>
      </w:r>
    </w:p>
    <w:p>
      <w:pPr>
        <w:jc w:val="both"/>
      </w:pPr>
      <w:r>
        <w:rPr/>
        <w:t xml:space="preserve">Une étude ultérieure, réalisée sur le jeu de données de la campagne DCE de 2009 (17 lagunes poly- et eu-halines) a permis de mettre en évidence que l’écart de salinité moyen entre la mer et la lagune est fortement corrélé négativement aux métriques de diversité et de richesse spécifique (coefficients de corrélation de Pearson ≤ -0,6), mais que la métrique de composition (AMBI) est en revanche très peu corrélée aux variables de pressions (Derolez et al. 2014).</w:t>
      </w:r>
    </w:p>
    <w:p>
      <w:pPr>
        <w:jc w:val="both"/>
      </w:pPr>
      <w:r>
        <w:rPr/>
        <w:t xml:space="preserve">L’outil ne s’applique qu’aux substrats meubles des lagunes poly-eu-halines, échantillonnés en zone centrale de la lagune.</w:t>
      </w:r>
    </w:p>
    <w:p>
      <w:pPr>
        <w:jc w:val="both"/>
      </w:pPr>
      <w:r>
        <w:rPr/>
        <w:t xml:space="preserve">Des conditions de validité concernant le nombre minimum de taxons (3) ou d’individus (3) par benne (réplicats), leur position de vie épigée ou endogée (Borja &amp; Muxika 2005), ainsi que le nombre de stations du jeu de données (50), sont requises pour assurer d’une part la représentativité des résultats et, d’autre part, leur validité statistique. De plus, l’AMBI ayant été mis au point pour les zones marines, cet indice présente des limites lorsqu’il est appliqué aux secteurs de salinité faible (estuaires, lagunes).</w:t>
      </w:r>
    </w:p>
    <w:p>
      <w:pPr/>
      <w:r>
        <w:rPr/>
        <w:t xml:space="preserve">L’attribution des espèces des lagunes aux groupes de polluo-sensibilité demanderait donc à être validée. Si le pourcentage d’espèces non assignées par le logiciel excède 20 %, les résultats sont à prendre avec précaution et s’il dépasse 50 %, l’AMBI et par conséquent le M-AMBI ne sont pas valides.</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Muxika I., 2005, Guidelines for the use of AMBI (AZTI’s Marine Biotic Index) in the assessment of the benthic ecological quality, Marine Pollution Bulletin, vol. 50, 787 - 789p.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Borja A., Chust G., Muxika I., 2019, Forever young: The successful story of a marine biotic index, Advances in Marine Biology, (n°82), 93-127p.</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Derolez V., Cadoret M., Fiandrino A., Munaron D., 2014, Bilan sur les principales pressions pesant sur les lagunes méditerranéennes et leurs liens avec l’état DCE. RST-LER/LR 14-20, Convention-cadre AERMC/Ifremer, 46p.</w:t>
      </w:r>
    </w:p>
    <w:p>
      <w:pPr/>
      <w:r>
        <w:rPr/>
        <w:t xml:space="preserve">Garcia A., Desroy N., Le Mao P., Miossec L., 2014, Protocole de suivi stationnel des macroinvertébrés benthiques de substrats meubles subtidaux et intertidaux dans le cadre de la DCE - Façades Manche et Atlantique., Rapport AQUAREF 2014. http://archimer.ifremer.fr/doc/00269/38067/., 13p.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MTES, 2018, Guide relatif aux règles d’évaluation de l’état des eaux littorales dans le cadre de la DCE, MTES/DGALN/DEB/ELM3, 275p.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6136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AB8AB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719A7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2026-10-06T03:18:32+02:00</dcterms:created>
  <dcterms:modified xsi:type="dcterms:W3CDTF">2026-10-06T03:18:32+02:00</dcterms:modified>
</cp:coreProperties>
</file>

<file path=docProps/custom.xml><?xml version="1.0" encoding="utf-8"?>
<Properties xmlns="http://schemas.openxmlformats.org/officeDocument/2006/custom-properties" xmlns:vt="http://schemas.openxmlformats.org/officeDocument/2006/docPropsVTypes"/>
</file>