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GPBI - Indicateur Biologique à Usage Général - Indicateur invertébrés benthiques de substrats meubles</w:t>
      </w:r>
    </w:p>
    <w:p>
      <w:pPr/>
      <w:r>
        <w:rPr/>
        <w:t xml:space="preserve">Version du 06/10/2025 à 14:59:06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57312722949pt; margin-left:0pt; margin-top:0pt; mso-position-horizontal:left; mso-position-vertical:top; mso-position-horizontal-relative:char; mso-position-vertical-relative:line;">
            <w10:wrap type="inline"/>
            <v:imagedata r:id="rId7" o:title=""/>
          </v:shape>
        </w:pict>
      </w:r>
    </w:p>
    <w:p>
      <w:pPr/>
      <w:r>
        <w:rPr/>
        <w:t xml:space="preserve">Crédit : Julie Castera (OFB)</w:t>
      </w:r>
    </w:p>
    <w:p>
      <w:pPr/>
      <w:r>
        <w:rPr>
          <w:color w:val="0087a5"/>
          <w:sz w:val="26"/>
          <w:szCs w:val="26"/>
          <w:b w:val="1"/>
          <w:bCs w:val="1"/>
          <w:caps w:val="0"/>
        </w:rPr>
        <w:t xml:space="preserve">Définitions et objectifs</w:t>
      </w:r>
    </w:p>
    <w:p>
      <w:pPr>
        <w:jc w:val="both"/>
      </w:pPr>
      <w:r>
        <w:rPr/>
        <w:t xml:space="preserve">L’indicateur GPBI (General-Purpose Biotic Index) est un indicateur développé pour évaluer l'impact de différentes pressions d'origine anthropique (p. ex. extraction, dragage, hypoxie) sur la structure et la composition des communautés de macrofaune benthique de substrat meuble. Cet indicateur a été mobilisé dans l’évaluation scientifique 2024 (cycle 3) du Bon État Écologique des Grands Types d’Habitats Sables, Vases, Sédiments grossiers et hétérogènes, au titre de la DCSMM (Robert et al. 2023). Cet indice multimétrique développé par Labrune et al. (2021) utilise les mesures de perte d’abondance intraspécifique d’une station par rapport à une station de référence comme base de l'évaluation de l'état écologique. Il est basé sur l'hypothèse que lorsqu'un site est impacté par une pression, les espèces les plus sensibles sont les premières à disparaître, et que des impacts plus forts entraînent des pertes plus importantes.</w:t>
      </w:r>
    </w:p>
    <w:p>
      <w:pPr>
        <w:jc w:val="both"/>
      </w:pPr>
      <w:r>
        <w:rPr/>
        <w:t xml:space="preserve">Les paramètres biologiques à prendre en compte pour l’évaluation écologique sont : la composition et l’abondance des taxa d’invertébrés.</w:t>
      </w:r>
    </w:p>
    <w:p>
      <w:pPr>
        <w:jc w:val="both"/>
      </w:pPr>
      <w:r>
        <w:rPr/>
        <w:t xml:space="preserve">Le GBPI est applicable à de nombreux habitats benthiques de substrats meubles. Il n'est pas spécifique à un habitat ou à un groupe d'habitats.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  </w:t>
      </w:r>
    </w:p>
    <w:p>
      <w:pPr/>
      <w:r>
        <w:rPr>
          <w:color w:val="B79247"/>
          <w:sz w:val="22"/>
          <w:szCs w:val="22"/>
          <w:b w:val="1"/>
          <w:bCs w:val="1"/>
        </w:rPr>
        <w:t xml:space="preserve">Objet évalué</w:t>
      </w:r>
    </w:p>
    <w:p>
      <w:pPr/>
      <w:r>
        <w:rPr/>
        <w:t xml:space="preserve">L'indicateur GPBI utilise la composition spécifique et l’abondance relative des taxa d’invertébrés benthiques pour évaluer l'état de santé des habitats sédimentaires. Il permet de détecter un état dégradé de l’habitat sans cibler une pression particulière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GPBI</w:t>
      </w:r>
    </w:p>
    <w:p>
      <w:pPr/>
      <w:r>
        <w:rPr>
          <w:b w:val="1"/>
          <w:bCs w:val="1"/>
        </w:rPr>
        <w:t xml:space="preserve">Source des données</w:t>
      </w:r>
    </w:p>
    <w:p>
      <w:pPr/>
      <w:r>
        <w:rPr/>
        <w:t xml:space="preserve">Données macrofaune benthique du dispositif de surveillance de la DCE (réseau DCE-Benthos MIB).</w:t>
      </w:r>
    </w:p>
    <w:p>
      <w:pPr/>
      <w:r>
        <w:rPr>
          <w:b w:val="1"/>
          <w:bCs w:val="1"/>
        </w:rPr>
        <w:t xml:space="preserve">Stratégie spatiale</w:t>
      </w:r>
    </w:p>
    <w:p>
      <w:pPr/>
      <w:r>
        <w:rPr>
          <w:b w:val="1"/>
          <w:bCs w:val="1"/>
        </w:rPr>
        <w:t xml:space="preserve">Stratégie temporelle</w:t>
      </w:r>
    </w:p>
    <w:p>
      <w:pPr/>
      <w:r>
        <w:rPr/>
        <w:t xml:space="preserve">Les suivis sont réalisés tous les trois ans, au début du printemps (de mi-février à fin-avril).</w:t>
      </w:r>
    </w:p>
    <w:p>
      <w:pPr/>
      <w:r>
        <w:rPr>
          <w:b w:val="1"/>
          <w:bCs w:val="1"/>
        </w:rPr>
        <w:t xml:space="preserve">Moyens humains et matériels</w:t>
      </w:r>
    </w:p>
    <w:p>
      <w:pPr/>
      <w:r>
        <w:rPr/>
        <w:t xml:space="preserve">Moyens humains : 2 à 3 agents formés.</w:t>
      </w:r>
      <w:br/>
      <w:r>
        <w:rPr/>
        <w:t xml:space="preserve">Moyens matériels : </w:t>
      </w:r>
      <w:br/>
      <w:r>
        <w:rPr/>
        <w:t xml:space="preserve">- En domaine subtidal (embarqué) : navire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Les sites de récolte de données doivent correspondre aux sites de suivis et également aux sites de référence qui servent aux calculs de l'indice.</w:t>
      </w:r>
    </w:p>
    <w:p>
      <w:pPr>
        <w:jc w:val="both"/>
      </w:pPr>
      <w:r>
        <w:rPr/>
        <w:t xml:space="preserve">Le protocole de récolte des données est non spécifique. Les protocoles appliqués dans le cadre des indicateurs AMBI, M-AMBI et BEQI-FR pour la récolte et l'identification de la macrofaune benthique sont déployables dans le cadre de l'indicateur GPB.</w:t>
      </w:r>
    </w:p>
    <w:p>
      <w:pPr/>
      <w:r>
        <w:rPr/>
        <w:t xml:space="preserve">	</w:t>
      </w:r>
    </w:p>
    <w:p>
      <w:pPr>
        <w:numPr>
          <w:ilvl w:val="0"/>
          <w:numId w:val="1"/>
        </w:numPr>
      </w:pPr>
      <w:r>
        <w:rPr/>
        <w:t xml:space="preserve">Prélèvements des échantillons :</w:t>
      </w:r>
    </w:p>
    <w:p>
      <w:pPr>
        <w:jc w:val="both"/>
      </w:pPr>
      <w:r>
        <w:rPr/>
        <w:t xml:space="preserve">Pour chaque prélèvement, une photo du prélèvement annotée doit être effectuée. Le type biosédimentaire est également annoté pour vérifier qu'il correspond aux campagnes précédentes.</w:t>
      </w:r>
    </w:p>
    <w:p>
      <w:pPr>
        <w:jc w:val="both"/>
      </w:pPr>
      <w:r>
        <w:rPr/>
        <w:t xml:space="preserve">- </w:t>
      </w: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En milieu intertidal, les prélèvements de macrofaune doivent être effectués en zone médiolittorale. Les prélèvements sont effectués à la main à l'aide d'un carottier en PVC de diamètre interne de 192,2 mm. Le prélèvement correspond donc à une surface égale à 0,029 m². Le carottier doit être enfoncé à 20 cm de profondeur en dehors des zones perturbées par le passage des agents. Pour la référence du carottier, se référer à Garcia et al. (2014).</w:t>
      </w:r>
    </w:p>
    <w:p>
      <w:pPr>
        <w:jc w:val="both"/>
      </w:pPr>
      <w:r>
        <w:rPr/>
        <w:t xml:space="preserve">En milieu subtidal, les prélèvements de macrofaune doivent être réalisés à l'aide d'une benne de surface d’échantillonnage unitaire égale à 0,1 m² (Day, Smith-McIntyre ou Van Veen). Le prélèvement est correct si la benne contient au moins cinq litres de sable ou dix litres de vase. En milieu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soit directement dans l'eau par des mouvements circulaires (intertidal) sur le terrain ou tamisés à l'aide d'un jet d'eau de mer de puissance moyenne (subtidal)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t xml:space="preserve">- </w:t>
      </w: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intertidal, les prélèvements sont effectués par carottage à l'aide d'un carottier de 3 à 5 cm de diamètre et 5 cm de profondeur.</w:t>
      </w:r>
    </w:p>
    <w:p>
      <w:pPr>
        <w:jc w:val="both"/>
      </w:pPr>
      <w:r>
        <w:rPr/>
        <w:t xml:space="preserve">En milieu subtidal, 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t xml:space="preserve">- </w:t>
      </w: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w:t>
      </w:r>
    </w:p>
    <w:p>
      <w:pPr>
        <w:jc w:val="both"/>
      </w:pPr>
      <w:r>
        <w:rPr/>
        <w:t xml:space="preserve">- </w:t>
      </w: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 (L) x 35). Pour les échantillons prélevés en milieu estuarien, voir Garcia et al. (2014).</w:t>
      </w:r>
    </w:p>
    <w:p>
      <w:pPr>
        <w:jc w:val="both"/>
      </w:pPr>
      <w:r>
        <w:rPr/>
        <w:t xml:space="preserve">Toute la procédure pour mesurer la granulométrie est précisée dans Garcia et al. (2014).</w:t>
      </w:r>
    </w:p>
    <w:p>
      <w:pPr>
        <w:jc w:val="both"/>
      </w:pPr>
      <w:r>
        <w:rPr/>
        <w:t xml:space="preserve">- </w:t>
      </w: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r>
        <w:rPr/>
        <w:t xml:space="preserve"> </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GPBI vise à mesurer les pertes d’abondance d’une station par rapport à une station de référence.</w:t>
      </w:r>
    </w:p>
    <w:p>
      <w:pPr>
        <w:jc w:val="both"/>
      </w:pPr>
      <w:r>
        <w:rPr/>
        <w:t xml:space="preserve">Pour une station testée (t), on calcule d’abord la proportion (Rquant) d’abondances d’espèces à la station de référence (r) qui sont absentes de la station testée :</w:t>
      </w:r>
    </w:p>
    <w:p>
      <w:pPr>
        <w:jc w:val="center"/>
      </w:pPr>
      <w:r>
        <w:rPr/>
        <w:t xml:space="preserve">Equation 2 :</w:t>
      </w:r>
      <w:r>
        <w:pict>
          <v:shape type="#_x0000_t75" stroked="f" style="width:257pt; height:8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Sr : la richesse spécifique à la station de référence ;</w:t>
      </w:r>
    </w:p>
    <w:p>
      <w:pPr>
        <w:jc w:val="both"/>
      </w:pPr>
      <w:r>
        <w:rPr/>
        <w:t xml:space="preserve">- ri : l’abondance de l’espèce i à la station de référence ;</w:t>
      </w:r>
    </w:p>
    <w:p>
      <w:pPr>
        <w:jc w:val="both"/>
      </w:pPr>
      <w:r>
        <w:rPr/>
        <w:t xml:space="preserve">- ti : l’abondance de l’espèce i à la station testée.</w:t>
      </w:r>
    </w:p>
    <w:p>
      <w:pPr>
        <w:jc w:val="both"/>
      </w:pPr>
      <w:r>
        <w:rPr/>
        <w:t xml:space="preserve">S’il y a une seule station de référence, alors l’indice de la station testée t (𝐺𝑃𝐵𝐼{𝑡}) est calculé comme suit :</w:t>
      </w:r>
    </w:p>
    <w:p>
      <w:pPr>
        <w:jc w:val="center"/>
      </w:pPr>
      <w:r>
        <w:rPr/>
        <w:t xml:space="preserve">Equation 3 : </w:t>
      </w:r>
      <w:r>
        <w:pict>
          <v:shape type="#_x0000_t75" stroked="f" style="width:160pt; height: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S’il y a plusieurs stations de référence alors le 𝐺𝑃𝐵𝐼{𝑡} est calculé de la manière suivante :</w:t>
      </w:r>
    </w:p>
    <w:p>
      <w:pPr>
        <w:jc w:val="center"/>
      </w:pPr>
      <w:r>
        <w:rPr/>
        <w:t xml:space="preserve">Equation 4 : </w:t>
      </w:r>
      <w:r>
        <w:pict>
          <v:shape type="#_x0000_t75" stroked="f" style="width:253pt; height: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%𝑙𝑜𝑠𝑠 : la moyenne des 𝑅𝑞𝑢𝑎𝑛𝑡{𝑟;𝑡} pour la station t par rapport à chaque station de référence ;</w:t>
      </w:r>
    </w:p>
    <w:p>
      <w:pPr>
        <w:jc w:val="both"/>
      </w:pPr>
      <w:r>
        <w:rPr/>
        <w:t xml:space="preserve">- 𝑟𝑒𝑓 : la moyenne de toutes les valeurs de la matrice de similarité Rquant entre les stations de référence (en incluant sa diagonale).</w:t>
      </w:r>
    </w:p>
    <w:p>
      <w:pPr>
        <w:jc w:val="both"/>
      </w:pPr>
      <w:r>
        <w:rPr/>
        <w:t xml:space="preserve">Les résultats du GPBI sont standardisés, c’est-à-dire qu’ils sont bornés entre 0 (mauvaise qualité écologique) et 1 (paramètre atteint, bonne qualité écologique).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L’étude de Labrune et al. (2021) a permis de proposer des seuils et une grille de lecture associée. En effet, les seuils permettent de définir l’état écologique des stations et pas seulement de mettre en évidence les tendances temporelles. Ainsi, des valeurs de GPBI comprises entre 0 et 0,4 indiquent que le paramètre n’est pas atteint, tandis que des valeurs comprises entre 0,7 et 1 sont révélatrices de l’atteinte du paramètre (Tableau 2). Entre les deux gammes de valeurs (0,4 et 0,7) les taux d’erreurs de classification des stations entre un état dégradé et un état non-dégradé deviennent importants. En effet, les seuils sont variables selon les pressions et les habitats qui les subissent, ce qui rend difficile de statuer, sans informations plus précises, sur la réponse spécifique de l’habitat aux différentes pressions considérées. D’un point de vue pragmatique, et pour l’évaluation les stations dont les valeurs de GPBI sont comprises dans l’intervalle 0,4 - 0,7 ont tout d’abord été classées en état « inconnu », ceci en l’absence d’informations complémentaires.</w:t>
      </w:r>
    </w:p>
    <w:p>
      <w:pPr>
        <w:jc w:val="both"/>
      </w:pPr>
      <w:r>
        <w:rPr/>
        <w:t xml:space="preserve">Dans un second temps, le dire d’expert a été sollicité afin de permettre, dans la mesure du possible, de trancher quant à l’état écologique de ces stations.</w:t>
      </w:r>
    </w:p>
    <w:p>
      <w:pPr>
        <w:jc w:val="both"/>
      </w:pPr>
    </w:p>
    <w:p>
      <w:pPr>
        <w:jc w:val="center"/>
      </w:pPr>
      <w:r>
        <w:rPr/>
        <w:t xml:space="preserve">Tableau 2 : Seuils d’état écologiques définis par Labrune et al. (2021).</w:t>
      </w:r>
    </w:p>
    <w:p>
      <w:pPr>
        <w:jc w:val="center"/>
        <w:spacing w:after="180"/>
      </w:pPr>
      <w:r>
        <w:pict>
          <v:shape type="#_x0000_t75" stroked="f" style="width:440pt; height:163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combinaison avec les indicateurs de la DCE (AMBI, M-AMBI, M-AMBI Lagunes et BEQI-FR) permet d'aider à l'interprétation des valeurs du GPBI.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GPBI est, de par sa conception, très sensible à tout changement d’abondance dans la communauté faunistique. Il montre donc une bonne sensibilité aux pressions. L'indicateur permet d'évaluer l'impact de pressions physiques d'origine anthropique (p. ex. extraction, chalutage, dragage) et répond également bien à l'anoxie (Labrune et al. 2021).</w:t>
      </w:r>
    </w:p>
    <w:p>
      <w:pPr>
        <w:jc w:val="both"/>
      </w:pPr>
      <w:r>
        <w:rPr/>
        <w:t xml:space="preserve">En le combinant avec les indicateurs M-AMBI ou AMBI, il permet de dissocier les effets de l’enrichissement en matière organique et des contaminants des autres sources de pression.</w:t>
      </w:r>
    </w:p>
    <w:p>
      <w:pPr/>
      <w:r>
        <w:rPr>
          <w:color w:val="B79247"/>
          <w:sz w:val="22"/>
          <w:szCs w:val="22"/>
          <w:b w:val="1"/>
          <w:bCs w:val="1"/>
        </w:rPr>
        <w:t xml:space="preserve">Principales limites</w:t>
      </w:r>
    </w:p>
    <w:p>
      <w:pPr>
        <w:jc w:val="both"/>
      </w:pPr>
      <w:r>
        <w:rPr/>
        <w:t xml:space="preserve">La sensibilité à tout changement d'abondance peut aussi être un inconvénient dans des milieux naturellement variables. Une interprétation décontextualisée du GPBI peut donc conduire à des conclusions erronées telles qu’une confusion entre les sources responsables de l’impact anthropique (Robert et al. 2023).</w:t>
      </w:r>
    </w:p>
    <w:p>
      <w:pPr/>
      <w:r>
        <w:rPr>
          <w:color w:val="B79247"/>
          <w:sz w:val="22"/>
          <w:szCs w:val="22"/>
          <w:b w:val="1"/>
          <w:bCs w:val="1"/>
        </w:rPr>
        <w:t xml:space="preserve">Pistes d'amélioration</w:t>
      </w:r>
    </w:p>
    <w:p>
      <w:pPr>
        <w:jc w:val="both"/>
      </w:pPr>
      <w:r>
        <w:rPr/>
        <w:t xml:space="preserve">Un des développements méthodologiques vise à lisser la variabilité temporelle naturelle des communautés afin de mieux identifier les fluctuations du GPBI liées à des pressions anthropiques. Le choix doit être fait de comparer les communautés benthiques des stations retenues pour le calcul de l’indicateur GPBI à celles de plusieurs stations de référence, dans la mesure du possible, en prenant aussi en compte les variations temporelles de ces stations de référence.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AF7C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A3FDB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2026-10-06T03:18:34+02:00</dcterms:created>
  <dcterms:modified xsi:type="dcterms:W3CDTF">2026-10-06T03:18:34+02:00</dcterms:modified>
</cp:coreProperties>
</file>

<file path=docProps/custom.xml><?xml version="1.0" encoding="utf-8"?>
<Properties xmlns="http://schemas.openxmlformats.org/officeDocument/2006/custom-properties" xmlns:vt="http://schemas.openxmlformats.org/officeDocument/2006/docPropsVTypes"/>
</file>