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appliqué au maërl - Indicateur invertébrés benthiques associés au maërl</w:t>
      </w:r>
    </w:p>
    <w:p>
      <w:pPr/>
      <w:r>
        <w:rPr/>
        <w:t xml:space="preserve">Version du 06/10/2025 à 14:55:06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L’indicateur AMBI (AZTI’s Marine Biotic Index ; Borja et al. 2000) appliqué au maërl, est un indicateur qui a été mobilisé dans le cadre de l'évaluation scientifique 2024 (cycle 3) du Bon État Écologique des bancs de maërl, au titre de la DCSMM (Tauran et al., 2022).</w:t>
      </w:r>
    </w:p>
    <w:p>
      <w:pPr>
        <w:jc w:val="both"/>
      </w:pPr>
      <w:r>
        <w:rPr/>
        <w:t xml:space="preserve">Cet indicateur permet de prendre en compte la diversité des taxa d’invertébrés benthiques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AMBI utilise la composition spécifique et l’abondance relative des taxa d’invertébrés benthiques. Il peut être mobilisé pour évaluer l'état de santé des communautés benthiques associées aux bancs de maërl au regard de l'eutrophisation.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 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maërl à la benne (macrofaune et sédiment)</w:t>
      </w:r>
    </w:p>
    <w:p>
      <w:pPr/>
      <w:r>
        <w:rPr>
          <w:b w:val="1"/>
          <w:bCs w:val="1"/>
        </w:rPr>
        <w:t xml:space="preserve">Source des données</w:t>
      </w:r>
    </w:p>
    <w:p>
      <w:pPr/>
      <w:r>
        <w:rPr/>
        <w:t xml:space="preserve">Les données sont issues du dispositif de suivi initial REBENT-Bretagne stationnel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de l'AMBI) :</w:t>
      </w:r>
    </w:p>
    <w:p>
      <w:pPr>
        <w:jc w:val="both"/>
      </w:pPr>
      <w:r>
        <w:rPr/>
        <w:t xml:space="preserve">Les échantillons pour la granulométrie et le taux de matière organique (perte au feu) sont réalisés avec la même benne utilisée pour l’échantillonnage de la macrofaune. Un échantillon est prélevé par station soit trois échantillons par site.</w:t>
      </w:r>
    </w:p>
    <w:p>
      <w:pPr>
        <w:jc w:val="both"/>
      </w:pPr>
      <w:r>
        <w:rPr/>
        <w:t xml:space="preserve">Une première partie du prélèvement est utilisée pour l'étude de la granulométrie, réalisée après tamisage de l’échantillon sur une colonne de tamis AFNOR.</w:t>
      </w:r>
    </w:p>
    <w:p>
      <w:pPr>
        <w:jc w:val="both"/>
      </w:pPr>
      <w:r>
        <w:rPr/>
        <w:t xml:space="preserve">Une seconde partie est utilisée pour mesurer la teneur en matière organique du sédiment par la méthode de la perte au feu (à 450°C).</w:t>
      </w:r>
    </w:p>
    <w:p>
      <w:pPr>
        <w:jc w:val="both"/>
      </w:pPr>
      <w:r>
        <w:rPr/>
        <w:t xml:space="preserve">Les protocoles d’analyse de la granulométrie et de la teneur en matière organique du sédiment sont précisés dans Garcia et al. (2014).</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spécifique et abondance (relative et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chaque site, chaque station et chaque réplicat sont présentées sous la forme d'une matrice d'abondance (Tableau 1).</w:t>
      </w:r>
    </w:p>
    <w:p>
      <w:pPr>
        <w:jc w:val="center"/>
      </w:pPr>
      <w:r>
        <w:rPr/>
        <w:t xml:space="preserve">Tableau 1 : Matrice d’abondance obtenue après analyse des prélèvements de macrofaune.</w:t>
      </w:r>
    </w:p>
    <w:p>
      <w:pPr>
        <w:jc w:val="center"/>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jc w:val="both"/>
      </w:pPr>
      <w:r>
        <w:rPr/>
        <w:t xml:space="preserve">Ces paramètres sont ensuite moyennés sur l’ensemble des prélèvements d’un site.</w:t>
      </w:r>
    </w:p>
    <w:p>
      <w:pPr/>
      <w:r>
        <w:rPr>
          <w:color w:val="B79247"/>
          <w:sz w:val="22"/>
          <w:szCs w:val="22"/>
          <w:b w:val="1"/>
          <w:bCs w:val="1"/>
        </w:rPr>
        <w:t xml:space="preserve">Composition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sédimentaire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Seules les espèces d'endofaune sont prises en compte dans le calcul de l'AMBI Maërl.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[Ces valeurs seuils ont été établies lors des travaux scientifiques d’évaluation cycle 3 DCSMM (Tauran et al. 2022). Avant toute utilisation, il convient de contacter les auteurs.]</w:t>
      </w:r>
    </w:p>
    <w:p>
      <w:pPr>
        <w:jc w:val="both"/>
      </w:pPr>
      <w:r>
        <w:rPr/>
        <w:t xml:space="preserve">Les valeurs de l'AMBI sont comparées aux valeurs seuils pour définir l'état écologique (Tableau 3). </w:t>
      </w:r>
    </w:p>
    <w:p>
      <w:pPr>
        <w:jc w:val="center"/>
      </w:pPr>
      <w:r>
        <w:rPr/>
        <w:t xml:space="preserve">Tableau 3 : Seuils proposés pour l'AMBI adaptés à l'habitat maërl (Tauran et al. 2022)</w:t>
      </w:r>
    </w:p>
    <w:p>
      <w:pPr/>
      <w:r>
        <w:pict>
          <v:shape type="#_x0000_t75" stroked="f" style="width:494px; height:89px; margin-left:0px; margin-top:0px; mso-position-horizontal:left; mso-position-vertical:top; mso-position-horizontal-relative:char; mso-position-vertical-relative:line;">
            <w10:wrap type="inline"/>
            <v:imagedata r:id="rId11"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L’AMBI appliqué au maërl répond bien aux pressions liées à l’eutrophisation (enrichissement en matière organique) et aux pollutions (Tauran et al., 2022).</w:t>
      </w:r>
    </w:p>
    <w:p>
      <w:pPr>
        <w:jc w:val="both"/>
      </w:pPr>
      <w:r>
        <w:rPr/>
        <w:t xml:space="preserve">Les données collectées pour le calcul de l'AMBI peuvent également servir au calcul du GPBI.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Permet uniquement d’évaluer l’impact de la pression d’eutrophisation (ne permet pas d'évaluer l'impact des pressions physiques).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 biologique qui permettrait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0BCF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96A2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