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Taux d’armements individuels</w:t>
      </w:r>
    </w:p>
    <w:p>
      <w:pPr/>
      <w:r>
        <w:rPr/>
        <w:t xml:space="preserve">Version du 06/02/2020 à 09:36:06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s'intéresse à la concentration de l'activité de pêche professionnelle d'un point de vue économique. Il permet d'avoir des informations sur la concentration économique entre les différents armateurs. L'objectif étant d'éviter les gros armateurs rassemblant de nombreuses unités et de favoriser les armateurs individuels.</w:t>
      </w:r>
    </w:p>
    <w:p>
      <w:pPr/>
      <w:r>
        <w:rPr>
          <w:color w:val="B79247"/>
          <w:sz w:val="22"/>
          <w:szCs w:val="22"/>
          <w:b w:val="1"/>
          <w:bCs w:val="1"/>
        </w:rPr>
        <w:t xml:space="preserve">Objet évalué</w:t>
      </w:r>
    </w:p>
    <w:p>
      <w:pPr/>
      <w:r>
        <w:rPr/>
        <w:t xml:space="preserve">L'indicateur permet d'évaluer la concentration économique entre les armateurs.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Concentration des navires actifs par port d’exploitation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Armements de rattachement des navires de pêche professionnelle</w:t>
      </w:r>
    </w:p>
    <w:p>
      <w:pPr/>
      <w:r>
        <w:rPr>
          <w:b w:val="1"/>
          <w:bCs w:val="1"/>
        </w:rPr>
        <w:t xml:space="preserve">Source des données</w:t>
      </w:r>
    </w:p>
    <w:p>
      <w:pPr/>
      <w:r>
        <w:rPr/>
        <w:t xml:space="preserve">Fichier Flotte Pêche Communautaire (FFPC) : données administratives référençant tous les navires de pêche immatriculés aux fichiers flottes nationaux, leurs caractéristiques techniques et leur lieu d'immatriculation (source : DPMA). </w:t>
      </w:r>
    </w:p>
    <w:p>
      <w:pPr/>
      <w:r>
        <w:rPr>
          <w:b w:val="1"/>
          <w:bCs w:val="1"/>
        </w:rPr>
        <w:t xml:space="preserve">Stratégie spatiale</w:t>
      </w:r>
    </w:p>
    <w:p>
      <w:pPr/>
      <w:r>
        <w:rPr/>
        <w:t xml:space="preserve">l'ensemble des navires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spacing w:after="195"/>
      </w:pPr>
      <w:r>
        <w:rPr/>
        <w:t xml:space="preserve">Les données du FFPC concernant les navires actifs dans le Parc sont récupérées via une extraction de la base de données Harmonie du SIH réalisée et transmise par l'Ifremer. Ces données transmises permettent de faire des traitements des données administratives selon des regroupements spécifiques des navires (par flottille, taille, ports d'exploitation ou d'immatriculation, par exemple).</w:t>
      </w:r>
    </w:p>
    <w:p>
      <w:pPr>
        <w:spacing w:after="195"/>
      </w:pPr>
      <w:r>
        <w:rPr/>
        <w:t xml:space="preserve">Pour cet indicateur, les données relatives à l'armateur auquel est rattaché chacun des navires sont récupérées.</w:t>
      </w:r>
    </w:p>
    <w:p>
      <w:pPr/>
      <w:r>
        <w:rPr>
          <w:b w:val="1"/>
          <w:bCs w:val="1"/>
        </w:rPr>
        <w:t xml:space="preserve">Référentiel(s) utilisé(s)</w:t>
      </w:r>
    </w:p>
    <w:p>
      <w:pPr/>
      <w:r>
        <w:rPr/>
        <w:t xml:space="preserve">RAS</w:t>
      </w:r>
    </w:p>
    <w:p>
      <w:pPr/>
      <w:r>
        <w:rPr>
          <w:b w:val="1"/>
          <w:bCs w:val="1"/>
        </w:rPr>
        <w:t xml:space="preserve">Base(s) de données utilisée(s)</w:t>
      </w:r>
    </w:p>
    <w:p>
      <w:pPr/>
      <w:r>
        <w:rPr/>
        <w:t xml:space="preserve">Harmonie - SIH</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navires par armement</w:t>
      </w:r>
    </w:p>
    <w:p>
      <w:pPr/>
      <w:r>
        <w:rPr>
          <w:b w:val="1"/>
          <w:bCs w:val="1"/>
        </w:rPr>
        <w:t xml:space="preserve">Stratégie spatiale</w:t>
      </w:r>
    </w:p>
    <w:p>
      <w:pPr/>
      <w:r>
        <w:rPr/>
        <w:t xml:space="preserve">Ensemble des navires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 (0.1j ETP)</w:t>
      </w:r>
      <w:br/>
    </w:p>
    <w:p>
      <w:pPr/>
      <w:r>
        <w:rPr>
          <w:b w:val="1"/>
          <w:bCs w:val="1"/>
        </w:rPr>
        <w:t xml:space="preserve">Méthode de calcul</w:t>
      </w:r>
    </w:p>
    <w:p>
      <w:pPr/>
      <w:r>
        <w:rPr/>
        <w:t xml:space="preserve">La métrique est composée du nombre de navires enregistrés au FFPC pour chaque armateur. Elle se calcule en réalisant la somme du nombre de navires pour chaque armateur.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Matériel : /</w:t>
      </w:r>
      <w:br/>
      <w:br/>
      <w:r>
        <w:rPr/>
        <w:t xml:space="preserve">Moyens humains : </w:t>
      </w:r>
      <w:br/>
      <w:r>
        <w:rPr/>
        <w:t xml:space="preserve">- 1 chargé de mission (0.1j ETP)</w:t>
      </w:r>
      <w:br/>
      <w:br/>
    </w:p>
    <w:p>
      <w:pPr/>
      <w:r>
        <w:rPr>
          <w:color w:val="B79247"/>
          <w:sz w:val="22"/>
          <w:szCs w:val="22"/>
          <w:b w:val="1"/>
          <w:bCs w:val="1"/>
        </w:rPr>
        <w:t xml:space="preserve">Méthode de calcul</w:t>
      </w:r>
    </w:p>
    <w:p>
      <w:pPr/>
      <w:r>
        <w:rPr/>
        <w:t xml:space="preserve">Le taux d'armement individuel se calcule en faisant le rapport entre le nombre d'armateur n'ayant qu'un seul navire sur le nombre d'armateurs total :</w:t>
      </w:r>
    </w:p>
    <w:p>
      <w:pPr>
        <w:spacing w:after="195"/>
      </w:pPr>
      <w:r>
        <w:rPr/>
        <w:t xml:space="preserve"> </w:t>
      </w:r>
      <w:r>
        <w:pict>
          <v:shape type="#_x0000_t75" stroked="f" style="width:258pt; height:32pt; margin-left:0pt; margin-top:0pt; mso-position-horizontal:left; mso-position-vertical:top; mso-position-horizontal-relative:char; mso-position-vertical-relative:line;">
            <w10:wrap type="inline"/>
            <v:imagedata r:id="rId7" o:title=""/>
          </v:shape>
        </w:pict>
      </w:r>
      <w:r>
        <w:rPr/>
        <w:t xml:space="preserve">  </w:t>
      </w:r>
    </w:p>
    <w:p>
      <w:pPr/>
      <w:r>
        <w:rPr/>
        <w:t xml:space="preserve">C'est cette valeur qui est directement interprétée selon la grille de lecture suivante</w:t>
      </w:r>
    </w:p>
    <w:p>
      <w:pPr/>
      <w:r>
        <w:rPr>
          <w:color w:val="B79247"/>
          <w:sz w:val="22"/>
          <w:szCs w:val="22"/>
          <w:b w:val="1"/>
          <w:bCs w:val="1"/>
        </w:rPr>
        <w:t xml:space="preserve">Lecture</w:t>
      </w:r>
    </w:p>
    <w:p>
      <w:pPr/>
      <w:r>
        <w:rPr/>
        <w:t xml:space="preserve">L'objectif est d'éviter les phénomènes de concentration économique. Ainsi, plus le taux d'armement individuel est élevé, plus l'indicateur est bon.</w:t>
      </w:r>
    </w:p>
    <w:p>
      <w:pPr/>
      <w:r>
        <w:rPr>
          <w:color w:val="B79247"/>
          <w:sz w:val="22"/>
          <w:szCs w:val="22"/>
          <w:b w:val="1"/>
          <w:bCs w:val="1"/>
        </w:rPr>
        <w:t xml:space="preserve">Grille de lecture</w:t>
      </w:r>
    </w:p>
    <w:tbl>
      <w:tblGrid>
        <w:gridCol w:w="160" w:type="dxa"/>
        <w:gridCol w:w="1700" w:type="dxa"/>
        <w:gridCol w:w="1700" w:type="dxa"/>
        <w:gridCol w:w="180" w:type="dxa"/>
        <w:gridCol w:w="1700" w:type="dxa"/>
        <w:gridCol w:w="180" w:type="dxa"/>
        <w:gridCol w:w="1700" w:type="dxa"/>
        <w:gridCol w:w="180" w:type="dxa"/>
      </w:tblGrid>
      <w:tblPr>
        <w:tblW w:w="13860" w:type="dxa"/>
        <w:tblLayout w:type="autofit"/>
      </w:tblPr>
      <w:tr>
        <w:trPr/>
        <w:tc>
          <w:tcPr>
            <w:tcW w:w="16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8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7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8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70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80" w:type="dxa"/>
            <w:tcMar>
              <w:top w:w="0" w:type="dxa"/>
              <w:start w:w="108" w:type="dxa"/>
              <w:bottom w:w="0" w:type="dxa"/>
              <w:end w:w="108" w:type="dxa"/>
            </w:tcMar>
            <w:vAlign w:val="top"/>
            <w:noWrap/>
          </w:tcPr>
          <w:p>
            <w:pPr>
              <w:jc w:val="center"/>
            </w:pPr>
            <w:r>
              <w:rPr/>
              <w:t xml:space="preserve">coefficient de pondération</w:t>
            </w:r>
          </w:p>
        </w:tc>
      </w:tr>
      <w:tr>
        <w:trPr/>
        <w:tc>
          <w:tcPr>
            <w:tcW w:w="160" w:type="dxa"/>
            <w:tcMar>
              <w:top w:w="0" w:type="dxa"/>
              <w:start w:w="108" w:type="dxa"/>
              <w:bottom w:w="0" w:type="dxa"/>
              <w:end w:w="108" w:type="dxa"/>
            </w:tcMar>
            <w:vAlign w:val="top"/>
            <w:noWrap/>
          </w:tcPr>
          <w:p>
            <w:pPr/>
            <w:r>
              <w:rPr/>
              <w:t xml:space="preserve">Taux d’armements individuels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[0 – 20%]</w:t>
            </w:r>
          </w:p>
        </w:tc>
        <w:tc>
          <w:tcPr>
            <w:tcW w:w="180" w:type="dxa"/>
            <w:tcMar>
              <w:top w:w="0" w:type="dxa"/>
              <w:start w:w="108" w:type="dxa"/>
              <w:bottom w:w="0" w:type="dxa"/>
              <w:end w:w="108" w:type="dxa"/>
            </w:tcMar>
            <w:noWrap/>
          </w:tcPr>
          <w:p>
            <w:pPr>
              <w:jc w:val="center"/>
            </w:pPr>
            <w:r>
              <w:rPr/>
              <w:t xml:space="preserve">]20 – 40%]</w:t>
            </w:r>
          </w:p>
        </w:tc>
        <w:tc>
          <w:tcPr>
            <w:tcW w:w="1700" w:type="dxa"/>
            <w:tcMar>
              <w:top w:w="0" w:type="dxa"/>
              <w:start w:w="108" w:type="dxa"/>
              <w:bottom w:w="0" w:type="dxa"/>
              <w:end w:w="108" w:type="dxa"/>
            </w:tcMar>
            <w:noWrap/>
          </w:tcPr>
          <w:p>
            <w:pPr>
              <w:jc w:val="center"/>
            </w:pPr>
            <w:r>
              <w:rPr/>
              <w:t xml:space="preserve">]40 – 60%]</w:t>
            </w:r>
          </w:p>
        </w:tc>
        <w:tc>
          <w:tcPr>
            <w:tcW w:w="180" w:type="dxa"/>
            <w:tcMar>
              <w:top w:w="0" w:type="dxa"/>
              <w:start w:w="108" w:type="dxa"/>
              <w:bottom w:w="0" w:type="dxa"/>
              <w:end w:w="108" w:type="dxa"/>
            </w:tcMar>
            <w:noWrap/>
          </w:tcPr>
          <w:p>
            <w:pPr>
              <w:jc w:val="center"/>
            </w:pPr>
            <w:r>
              <w:rPr/>
              <w:t xml:space="preserve">]60 – 80%]</w:t>
            </w:r>
          </w:p>
        </w:tc>
        <w:tc>
          <w:tcPr>
            <w:tcW w:w="1700" w:type="dxa"/>
            <w:tcMar>
              <w:top w:w="0" w:type="dxa"/>
              <w:start w:w="108" w:type="dxa"/>
              <w:bottom w:w="0" w:type="dxa"/>
              <w:end w:w="108" w:type="dxa"/>
            </w:tcMar>
            <w:noWrap/>
          </w:tcPr>
          <w:p>
            <w:pPr>
              <w:jc w:val="center"/>
            </w:pPr>
            <w:r>
              <w:rPr/>
              <w:t xml:space="preserve">]80 – 100%]</w:t>
            </w:r>
          </w:p>
        </w:tc>
        <w:tc>
          <w:tcPr>
            <w:tcW w:w="18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2026-08-21T14:31:45+02:00</dcterms:created>
  <dcterms:modified xsi:type="dcterms:W3CDTF">2026-08-21T14:31:45+02:00</dcterms:modified>
</cp:coreProperties>
</file>

<file path=docProps/custom.xml><?xml version="1.0" encoding="utf-8"?>
<Properties xmlns="http://schemas.openxmlformats.org/officeDocument/2006/custom-properties" xmlns:vt="http://schemas.openxmlformats.org/officeDocument/2006/docPropsVTypes"/>
</file>