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navires actifs par flottille</w:t>
      </w:r>
    </w:p>
    <w:p>
      <w:pPr/>
      <w:r>
        <w:rPr/>
        <w:t xml:space="preserve">Version du 06/02/2020 à 10:03:06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pression de pêche doit permettre d’évaluer la pression totale de la pêche professionnelle embarquée, au sein de l'AMP. Il est complété par d'autres indices ciblant plus précisément la pêche à pied et la pêche récréative pour avoir une idée de la pression totale de pêche.  Afin d'avoir une information plus précise sur la pression de pêche, le nombre de navires est calculé pour chacune des flottilles présentes dans l'AMP.</w:t>
      </w:r>
    </w:p>
    <w:p>
      <w:pPr/>
      <w:r>
        <w:rPr/>
        <w:t xml:space="preserve">Cet indicateur est indispensable pour le renseignement du tableau de bord pêche. La grande majorité des indicateurs pêche sont calculés sur la base de celui-ci.</w:t>
      </w:r>
      <w:br/>
      <w:r>
        <w:rPr/>
        <w:t xml:space="preserve">Il est possible d'affiner le résultat de cet indicateur en fonction de l'importance de l'activité des navires au sein du Parc, c'est à dire en fonction de leur taux de fréquentation.</w:t>
      </w:r>
    </w:p>
    <w:p>
      <w:pPr/>
      <w:r>
        <w:rPr/>
        <w:t xml:space="preserve"> </w:t>
      </w:r>
    </w:p>
    <w:p>
      <w:pPr/>
      <w:r>
        <w:rPr>
          <w:color w:val="B79247"/>
          <w:sz w:val="22"/>
          <w:szCs w:val="22"/>
          <w:b w:val="1"/>
          <w:bCs w:val="1"/>
        </w:rPr>
        <w:t xml:space="preserve">Objet évalué</w:t>
      </w:r>
    </w:p>
    <w:p>
      <w:pPr/>
      <w:r>
        <w:rPr/>
        <w:t xml:space="preserve">L'indicateur permet d'évaluer la pression de pêche en termes de nombre de navires.</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social</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w:t>
      </w:r>
      <w:r>
        <w:rPr>
          <w:b w:val="1"/>
          <w:bCs w:val="1"/>
        </w:rPr>
        <w:t xml:space="preserve">Fichier Flotte de pêche communautaire</w:t>
      </w:r>
      <w:r>
        <w:rPr/>
        <w:t xml:space="preserve"> concernant les navires actifs dans le Parc sont récupérées via une extraction de la base de données Harmonie du SIH réalisée et transmise par l'Ifremer. Ces données du FFPC sont actualisés tous les 3 mois au niveau européen. Les données au 31 décembre de l'année sont récupérées pour calculer cet indicateur.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pour chacune des flottilles dans le périmètre du PNM sur l'année concernée.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r>
        <w:rPr/>
        <w:t xml:space="preserve">- logiciel R</w:t>
      </w:r>
      <w:br/>
      <w:br/>
      <w:r>
        <w:rPr/>
        <w:t xml:space="preserve">Moyens humains : </w:t>
      </w:r>
      <w:br/>
      <w:r>
        <w:rPr/>
        <w:t xml:space="preserve">- 1 chargé de mission (0.2j ETP)</w:t>
      </w:r>
    </w:p>
    <w:p>
      <w:pPr/>
      <w:r>
        <w:rPr>
          <w:color w:val="B79247"/>
          <w:sz w:val="22"/>
          <w:szCs w:val="22"/>
          <w:b w:val="1"/>
          <w:bCs w:val="1"/>
        </w:rPr>
        <w:t xml:space="preserve">Méthode de calcul</w:t>
      </w:r>
    </w:p>
    <w:p>
      <w:pPr>
        <w:jc w:val="both"/>
      </w:pPr>
      <w:r>
        <w:rPr/>
        <w:t xml:space="preserve">A partir des informations par navire (voire de leur taux de fréquentation selon le niveau de précision choisi pour le calcul de l'indicateur), un test statistique est appliqué pour évaluer l'évolution du nombre de navires actifs dans chacune des flottilles. L'évolution (augmentation, stabilité, diminution) est évaluée pour chacune des flottilles. </w:t>
      </w:r>
      <w:br/>
      <w:r>
        <w:rPr/>
        <w:t xml:space="preserve">Une moyenne de ces 12 valeurs est ensuite réalisée pour avoir une idée de la qualification de cet indice.</w:t>
      </w:r>
      <w:br/>
      <w:r>
        <w:rPr/>
        <w:t xml:space="preserve"> </w:t>
      </w:r>
    </w:p>
    <w:p>
      <w:pPr>
        <w:jc w:val="both"/>
      </w:pPr>
      <w:r>
        <w:rPr/>
        <w:t xml:space="preserve"> </w:t>
      </w:r>
    </w:p>
    <w:p>
      <w:pPr/>
      <w:r>
        <w:rPr>
          <w:color w:val="B79247"/>
          <w:sz w:val="22"/>
          <w:szCs w:val="22"/>
          <w:b w:val="1"/>
          <w:bCs w:val="1"/>
        </w:rPr>
        <w:t xml:space="preserve">Lecture</w:t>
      </w:r>
    </w:p>
    <w:p>
      <w:pPr>
        <w:jc w:val="both"/>
      </w:pPr>
      <w:r>
        <w:rPr/>
        <w:t xml:space="preserve">La grille de lecture s’intéresse à l’évolution du nombre de navires en fonction de l’évolution des stocks. Par conséquent, l’évaluation de ces métriques dépend de l’évaluation des indicateurs relatifs aux stocks.</w:t>
      </w:r>
    </w:p>
    <w:p>
      <w:pPr/>
      <w:r>
        <w:rPr>
          <w:color w:val="B79247"/>
          <w:sz w:val="22"/>
          <w:szCs w:val="22"/>
          <w:b w:val="1"/>
          <w:bCs w:val="1"/>
        </w:rPr>
        <w:t xml:space="preserve">Grille de lecture</w:t>
      </w:r>
    </w:p>
    <w:tbl>
      <w:tblGrid>
        <w:gridCol w:w="500" w:type="dxa"/>
        <w:gridCol w:w="160" w:type="dxa"/>
        <w:gridCol w:w="120" w:type="dxa"/>
        <w:gridCol w:w="700" w:type="dxa"/>
        <w:gridCol w:w="40" w:type="dxa"/>
      </w:tblGrid>
      <w:tblPr>
        <w:jc w:val="center"/>
        <w:tblW w:w="40" w:type="dxa"/>
        <w:tblLayout w:type="autofit"/>
      </w:tblPr>
      <w:tr>
        <w:trPr>
          <w:trHeight w:val="855" w:hRule="exact"/>
        </w:trPr>
        <w:tc>
          <w:tcPr>
            <w:tcW w:w="500" w:type="dxa"/>
            <w:tcMar>
              <w:top w:w="0" w:type="dxa"/>
              <w:start w:w="78" w:type="dxa"/>
              <w:bottom w:w="0" w:type="dxa"/>
              <w:end w:w="78" w:type="dxa"/>
            </w:tcMar>
            <w:noWrap/>
          </w:tcPr>
          <w:p>
            <w:pPr>
              <w:jc w:val="center"/>
            </w:pPr>
            <w:r>
              <w:rPr/>
              <w:t xml:space="preserve">Adaptation Effort/Ressource ?</w:t>
            </w:r>
          </w:p>
        </w:tc>
        <w:tc>
          <w:tcPr>
            <w:tcW w:w="160" w:type="dxa"/>
            <w:tcMar>
              <w:top w:w="0" w:type="dxa"/>
              <w:start w:w="78" w:type="dxa"/>
              <w:bottom w:w="0" w:type="dxa"/>
              <w:end w:w="78" w:type="dxa"/>
            </w:tcMar>
            <w:noWrap/>
          </w:tcPr>
          <w:p>
            <w:pPr>
              <w:jc w:val="center"/>
            </w:pPr>
            <w:r>
              <w:rPr/>
              <w:t xml:space="preserve">Amélioration ou</w:t>
            </w:r>
          </w:p>
          <w:p>
            <w:pPr>
              <w:jc w:val="center"/>
            </w:pPr>
            <w:r>
              <w:rPr/>
              <w:t xml:space="preserve">bon état du stock</w:t>
            </w:r>
          </w:p>
        </w:tc>
        <w:tc>
          <w:tcPr>
            <w:tcW w:w="120" w:type="dxa"/>
            <w:tcMar>
              <w:top w:w="0" w:type="dxa"/>
              <w:start w:w="78" w:type="dxa"/>
              <w:bottom w:w="0" w:type="dxa"/>
              <w:end w:w="78" w:type="dxa"/>
            </w:tcMar>
            <w:noWrap/>
          </w:tcPr>
          <w:p>
            <w:pPr>
              <w:jc w:val="center"/>
            </w:pPr>
            <w:r>
              <w:rPr/>
              <w:t xml:space="preserve">Tendance à la stabilité du stock</w:t>
            </w:r>
          </w:p>
        </w:tc>
        <w:tc>
          <w:tcPr>
            <w:tcW w:w="700" w:type="dxa"/>
            <w:tcMar>
              <w:top w:w="0" w:type="dxa"/>
              <w:start w:w="78" w:type="dxa"/>
              <w:bottom w:w="0" w:type="dxa"/>
              <w:end w:w="78" w:type="dxa"/>
            </w:tcMar>
            <w:noWrap/>
          </w:tcPr>
          <w:p>
            <w:pPr>
              <w:jc w:val="center"/>
            </w:pPr>
            <w:r>
              <w:rPr/>
              <w:t xml:space="preserve">Dégradation ou mauvais état du stock</w:t>
            </w:r>
          </w:p>
        </w:tc>
        <w:tc>
          <w:tcPr>
            <w:tcW w:w="40" w:type="dxa"/>
            <w:tcMar>
              <w:top w:w="0" w:type="dxa"/>
              <w:start w:w="78" w:type="dxa"/>
              <w:bottom w:w="0" w:type="dxa"/>
              <w:end w:w="78" w:type="dxa"/>
            </w:tcMar>
            <w:noWrap/>
          </w:tcPr>
          <w:p>
            <w:pPr>
              <w:jc w:val="center"/>
            </w:pPr>
            <w:r>
              <w:rPr/>
              <w:t xml:space="preserve">État inconnu</w:t>
            </w:r>
          </w:p>
        </w:tc>
      </w:tr>
      <w:tr>
        <w:trPr>
          <w:trHeight w:val="702.0000000000001" w:hRule="exact"/>
        </w:trPr>
        <w:tc>
          <w:tcPr>
            <w:tcW w:w="500" w:type="dxa"/>
            <w:tcMar>
              <w:top w:w="0" w:type="dxa"/>
              <w:start w:w="78" w:type="dxa"/>
              <w:bottom w:w="0" w:type="dxa"/>
              <w:end w:w="78" w:type="dxa"/>
            </w:tcMar>
            <w:noWrap/>
          </w:tcPr>
          <w:p>
            <w:pPr>
              <w:jc w:val="both"/>
            </w:pPr>
            <w:r>
              <w:rPr/>
              <w:t xml:space="preserve">Nb navires et/ou Nb mois</w:t>
            </w:r>
          </w:p>
          <w:p>
            <w:pPr>
              <w:jc w:val="both"/>
            </w:pPr>
            <w:r>
              <w:rPr/>
              <w:t xml:space="preserve">Tendance à l’augmentation</w:t>
            </w:r>
          </w:p>
        </w:tc>
        <w:tc>
          <w:tcPr>
            <w:tcW w:w="160" w:type="dxa"/>
            <w:tcMar>
              <w:top w:w="0" w:type="dxa"/>
              <w:start w:w="78" w:type="dxa"/>
              <w:bottom w:w="0" w:type="dxa"/>
              <w:end w:w="78" w:type="dxa"/>
            </w:tcMar>
            <w:noWrap/>
          </w:tcPr>
          <w:p>
            <w:pPr>
              <w:jc w:val="center"/>
            </w:pPr>
            <w:r>
              <w:rPr/>
              <w:t xml:space="preserve">bon</w:t>
            </w:r>
          </w:p>
          <w:p>
            <w:pPr>
              <w:jc w:val="center"/>
            </w:pPr>
            <w:r>
              <w:rPr/>
              <w:t xml:space="preserve">(score=4)</w:t>
            </w:r>
          </w:p>
        </w:tc>
        <w:tc>
          <w:tcPr>
            <w:tcW w:w="120" w:type="dxa"/>
            <w:tcMar>
              <w:top w:w="0" w:type="dxa"/>
              <w:start w:w="78" w:type="dxa"/>
              <w:bottom w:w="0" w:type="dxa"/>
              <w:end w:w="78" w:type="dxa"/>
            </w:tcMar>
            <w:noWrap/>
          </w:tcPr>
          <w:p>
            <w:pPr>
              <w:jc w:val="center"/>
            </w:pPr>
            <w:r>
              <w:rPr/>
              <w:t xml:space="preserve">moyen</w:t>
            </w:r>
          </w:p>
          <w:p>
            <w:pPr>
              <w:jc w:val="center"/>
            </w:pPr>
            <w:r>
              <w:rPr/>
              <w:t xml:space="preserve">(score=3)</w:t>
            </w:r>
          </w:p>
        </w:tc>
        <w:tc>
          <w:tcPr>
            <w:tcW w:w="700" w:type="dxa"/>
            <w:tcMar>
              <w:top w:w="0" w:type="dxa"/>
              <w:start w:w="78" w:type="dxa"/>
              <w:bottom w:w="0" w:type="dxa"/>
              <w:end w:w="78" w:type="dxa"/>
            </w:tcMar>
            <w:noWrap/>
          </w:tcPr>
          <w:p>
            <w:pPr>
              <w:jc w:val="center"/>
            </w:pPr>
            <w:r>
              <w:rPr/>
              <w:t xml:space="preserve">très mauvais</w:t>
            </w:r>
          </w:p>
          <w:p>
            <w:pPr>
              <w:jc w:val="center"/>
            </w:pPr>
            <w:r>
              <w:rPr/>
              <w:t xml:space="preserve">(score=1)</w:t>
            </w:r>
          </w:p>
        </w:tc>
        <w:tc>
          <w:tcPr>
            <w:tcW w:w="40" w:type="dxa"/>
            <w:tcMar>
              <w:top w:w="0" w:type="dxa"/>
              <w:start w:w="78" w:type="dxa"/>
              <w:bottom w:w="0" w:type="dxa"/>
              <w:end w:w="78" w:type="dxa"/>
            </w:tcMar>
            <w:noWrap/>
          </w:tcPr>
          <w:p>
            <w:pPr>
              <w:jc w:val="center"/>
            </w:pPr>
            <w:r>
              <w:rPr/>
              <w:t xml:space="preserve">indéterminé</w:t>
            </w:r>
          </w:p>
        </w:tc>
      </w:tr>
      <w:tr>
        <w:trPr>
          <w:trHeight w:val="669" w:hRule="exact"/>
        </w:trPr>
        <w:tc>
          <w:tcPr>
            <w:tcW w:w="500" w:type="dxa"/>
            <w:tcMar>
              <w:top w:w="0" w:type="dxa"/>
              <w:start w:w="78" w:type="dxa"/>
              <w:bottom w:w="0" w:type="dxa"/>
              <w:end w:w="78" w:type="dxa"/>
            </w:tcMar>
            <w:noWrap/>
          </w:tcPr>
          <w:p>
            <w:pPr>
              <w:jc w:val="both"/>
            </w:pPr>
            <w:r>
              <w:rPr/>
              <w:t xml:space="preserve">Nb navires et/ou Nb mois</w:t>
            </w:r>
          </w:p>
          <w:p>
            <w:pPr>
              <w:jc w:val="both"/>
            </w:pPr>
            <w:r>
              <w:rPr/>
              <w:t xml:space="preserve">Tendance à la stabilité</w:t>
            </w:r>
          </w:p>
        </w:tc>
        <w:tc>
          <w:tcPr>
            <w:tcW w:w="160" w:type="dxa"/>
            <w:tcMar>
              <w:top w:w="0" w:type="dxa"/>
              <w:start w:w="78" w:type="dxa"/>
              <w:bottom w:w="0" w:type="dxa"/>
              <w:end w:w="78" w:type="dxa"/>
            </w:tcMar>
            <w:noWrap/>
          </w:tcPr>
          <w:p>
            <w:pPr>
              <w:jc w:val="center"/>
            </w:pPr>
            <w:r>
              <w:rPr/>
              <w:t xml:space="preserve">très bon</w:t>
            </w:r>
          </w:p>
          <w:p>
            <w:pPr>
              <w:jc w:val="center"/>
            </w:pPr>
            <w:r>
              <w:rPr/>
              <w:t xml:space="preserve">(score=5)</w:t>
            </w:r>
          </w:p>
        </w:tc>
        <w:tc>
          <w:tcPr>
            <w:tcW w:w="120" w:type="dxa"/>
            <w:tcMar>
              <w:top w:w="0" w:type="dxa"/>
              <w:start w:w="78" w:type="dxa"/>
              <w:bottom w:w="0" w:type="dxa"/>
              <w:end w:w="78" w:type="dxa"/>
            </w:tcMar>
            <w:noWrap/>
          </w:tcPr>
          <w:p>
            <w:pPr>
              <w:jc w:val="center"/>
            </w:pPr>
            <w:r>
              <w:rPr/>
              <w:t xml:space="preserve">moyen</w:t>
            </w:r>
          </w:p>
          <w:p>
            <w:pPr>
              <w:jc w:val="center"/>
            </w:pPr>
            <w:r>
              <w:rPr/>
              <w:t xml:space="preserve">(score=3)</w:t>
            </w:r>
          </w:p>
        </w:tc>
        <w:tc>
          <w:tcPr>
            <w:tcW w:w="700" w:type="dxa"/>
            <w:tcMar>
              <w:top w:w="0" w:type="dxa"/>
              <w:start w:w="78" w:type="dxa"/>
              <w:bottom w:w="0" w:type="dxa"/>
              <w:end w:w="78" w:type="dxa"/>
            </w:tcMar>
            <w:noWrap/>
          </w:tcPr>
          <w:p>
            <w:pPr>
              <w:jc w:val="center"/>
            </w:pPr>
            <w:r>
              <w:rPr/>
              <w:t xml:space="preserve">très mauvais</w:t>
            </w:r>
          </w:p>
          <w:p>
            <w:pPr>
              <w:jc w:val="center"/>
            </w:pPr>
            <w:r>
              <w:rPr/>
              <w:t xml:space="preserve">(score=1)</w:t>
            </w:r>
          </w:p>
        </w:tc>
        <w:tc>
          <w:tcPr>
            <w:tcW w:w="40" w:type="dxa"/>
            <w:tcMar>
              <w:top w:w="0" w:type="dxa"/>
              <w:start w:w="78" w:type="dxa"/>
              <w:bottom w:w="0" w:type="dxa"/>
              <w:end w:w="78" w:type="dxa"/>
            </w:tcMar>
            <w:noWrap/>
          </w:tcPr>
          <w:p>
            <w:pPr>
              <w:jc w:val="center"/>
            </w:pPr>
            <w:r>
              <w:rPr/>
              <w:t xml:space="preserve">indéterminé</w:t>
            </w:r>
          </w:p>
        </w:tc>
      </w:tr>
      <w:tr>
        <w:trPr>
          <w:trHeight w:val="822" w:hRule="exact"/>
        </w:trPr>
        <w:tc>
          <w:tcPr>
            <w:tcW w:w="500" w:type="dxa"/>
            <w:tcMar>
              <w:top w:w="0" w:type="dxa"/>
              <w:start w:w="78" w:type="dxa"/>
              <w:bottom w:w="0" w:type="dxa"/>
              <w:end w:w="78" w:type="dxa"/>
            </w:tcMar>
            <w:noWrap/>
          </w:tcPr>
          <w:p>
            <w:pPr>
              <w:jc w:val="both"/>
            </w:pPr>
            <w:r>
              <w:rPr/>
              <w:t xml:space="preserve">Nb navires et/ou Nb mois</w:t>
            </w:r>
          </w:p>
          <w:p>
            <w:pPr>
              <w:jc w:val="both"/>
            </w:pPr>
            <w:r>
              <w:rPr/>
              <w:t xml:space="preserve">Tendance à la diminution</w:t>
            </w:r>
          </w:p>
        </w:tc>
        <w:tc>
          <w:tcPr>
            <w:tcW w:w="160" w:type="dxa"/>
            <w:tcMar>
              <w:top w:w="0" w:type="dxa"/>
              <w:start w:w="78" w:type="dxa"/>
              <w:bottom w:w="0" w:type="dxa"/>
              <w:end w:w="78" w:type="dxa"/>
            </w:tcMar>
            <w:noWrap/>
          </w:tcPr>
          <w:p>
            <w:pPr>
              <w:jc w:val="center"/>
            </w:pPr>
            <w:r>
              <w:rPr/>
              <w:t xml:space="preserve">très bon</w:t>
            </w:r>
          </w:p>
          <w:p>
            <w:pPr>
              <w:jc w:val="center"/>
            </w:pPr>
            <w:r>
              <w:rPr/>
              <w:t xml:space="preserve">(score=5)</w:t>
            </w:r>
          </w:p>
        </w:tc>
        <w:tc>
          <w:tcPr>
            <w:tcW w:w="120" w:type="dxa"/>
            <w:tcMar>
              <w:top w:w="0" w:type="dxa"/>
              <w:start w:w="78" w:type="dxa"/>
              <w:bottom w:w="0" w:type="dxa"/>
              <w:end w:w="78" w:type="dxa"/>
            </w:tcMar>
            <w:noWrap/>
          </w:tcPr>
          <w:p>
            <w:pPr>
              <w:jc w:val="center"/>
            </w:pPr>
            <w:r>
              <w:rPr/>
              <w:t xml:space="preserve">bon</w:t>
            </w:r>
          </w:p>
          <w:p>
            <w:pPr>
              <w:jc w:val="center"/>
            </w:pPr>
            <w:r>
              <w:rPr/>
              <w:t xml:space="preserve">(score=4)</w:t>
            </w:r>
          </w:p>
        </w:tc>
        <w:tc>
          <w:tcPr>
            <w:tcW w:w="700" w:type="dxa"/>
            <w:tcMar>
              <w:top w:w="0" w:type="dxa"/>
              <w:start w:w="78" w:type="dxa"/>
              <w:bottom w:w="0" w:type="dxa"/>
              <w:end w:w="78" w:type="dxa"/>
            </w:tcMar>
            <w:noWrap/>
          </w:tcPr>
          <w:p>
            <w:pPr>
              <w:jc w:val="center"/>
            </w:pPr>
            <w:r>
              <w:rPr/>
              <w:t xml:space="preserve">mauvais</w:t>
            </w:r>
          </w:p>
          <w:p>
            <w:pPr>
              <w:jc w:val="center"/>
            </w:pPr>
            <w:r>
              <w:rPr/>
              <w:t xml:space="preserve">(score=2)</w:t>
            </w:r>
          </w:p>
        </w:tc>
        <w:tc>
          <w:tcPr>
            <w:tcW w:w="40" w:type="dxa"/>
            <w:tcMar>
              <w:top w:w="0" w:type="dxa"/>
              <w:start w:w="78" w:type="dxa"/>
              <w:bottom w:w="0" w:type="dxa"/>
              <w:end w:w="78" w:type="dxa"/>
            </w:tcMar>
            <w:noWrap/>
          </w:tcPr>
          <w:p>
            <w:pPr>
              <w:jc w:val="center"/>
            </w:pPr>
            <w:r>
              <w:rPr/>
              <w:t xml:space="preserve">indéterminé</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2026-10-06T03:10:18+02:00</dcterms:created>
  <dcterms:modified xsi:type="dcterms:W3CDTF">2026-10-06T03:10:18+02:00</dcterms:modified>
</cp:coreProperties>
</file>

<file path=docProps/custom.xml><?xml version="1.0" encoding="utf-8"?>
<Properties xmlns="http://schemas.openxmlformats.org/officeDocument/2006/custom-properties" xmlns:vt="http://schemas.openxmlformats.org/officeDocument/2006/docPropsVTypes"/>
</file>