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Nombre de mois d'activité par flottille</w:t>
      </w:r>
    </w:p>
    <w:p>
      <w:pPr/>
      <w:r>
        <w:rPr/>
        <w:t xml:space="preserve">Version du 19/11/2021 à 09:30:19</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Cet indicateur de pression de pêche doit permettre d’évaluer la pression totale de la pêche professionnelle embarquée, au sein de l'AMP. Il est complété par d'autres indices ciblant plus précisément la pêche à pied et la pêche récréative pour avoir une idée de la pression totale de pêche.  Afin d'avoir une information plus précise sur la pression de pêche, le nombre de mois d'activité est calculé pour chacune des flottilles présentes dans l'AMP.</w:t>
      </w:r>
    </w:p>
    <w:p>
      <w:pPr/>
      <w:r>
        <w:rPr/>
        <w:t xml:space="preserve">Cet indicateur est important, en complément du nombre de navires actifs, pour le renseignement du tableau de bord pêche.</w:t>
      </w:r>
      <w:br/>
      <w:r>
        <w:rPr/>
        <w:t xml:space="preserve">Il est possible d'affiner le résultat de cet indicateur en fonction de l'importance de l'activité des navires au sein du Parc, c'est à dire en fonction de leur taux de fréquentation.</w:t>
      </w:r>
    </w:p>
    <w:p>
      <w:pPr/>
      <w:r>
        <w:rPr>
          <w:color w:val="B79247"/>
          <w:sz w:val="22"/>
          <w:szCs w:val="22"/>
          <w:b w:val="1"/>
          <w:bCs w:val="1"/>
        </w:rPr>
        <w:t xml:space="preserve">Objet évalué</w:t>
      </w:r>
    </w:p>
    <w:p>
      <w:pPr/>
      <w:r>
        <w:rPr/>
        <w:t xml:space="preserve">L'indicateur permet d'évaluer la pression de pêche en termes de nombre de mois d'activité.</w:t>
      </w:r>
    </w:p>
    <w:p>
      <w:pPr/>
      <w:r>
        <w:rPr>
          <w:color w:val="B79247"/>
          <w:sz w:val="22"/>
          <w:szCs w:val="22"/>
          <w:b w:val="1"/>
          <w:bCs w:val="1"/>
        </w:rPr>
        <w:t xml:space="preserve">Finalité(s)</w:t>
      </w:r>
    </w:p>
    <w:p>
      <w:pPr/>
      <w:r>
        <w:rPr/>
        <w:t xml:space="preserve">F5. L’exploitation durable des ressources</w:t>
      </w:r>
      <w:br/>
      <w:r>
        <w:rPr/>
        <w:t xml:space="preserve">F6. Le développement durable des usages</w:t>
      </w:r>
    </w:p>
    <w:p>
      <w:pPr/>
      <w:r>
        <w:rPr>
          <w:color w:val="B79247"/>
          <w:sz w:val="22"/>
          <w:szCs w:val="22"/>
          <w:b w:val="1"/>
          <w:bCs w:val="1"/>
        </w:rPr>
        <w:t xml:space="preserve">Déclinaison locale des finalités</w:t>
      </w:r>
    </w:p>
    <w:p>
      <w:pPr/>
      <w:r>
        <w:rPr/>
        <w:t xml:space="preserve">PNM Iroise</w:t>
      </w:r>
    </w:p>
    <w:p>
      <w:pPr/>
      <w:r>
        <w:rPr>
          <w:color w:val="B79247"/>
          <w:sz w:val="22"/>
          <w:szCs w:val="22"/>
          <w:b w:val="1"/>
          <w:bCs w:val="1"/>
        </w:rPr>
        <w:t xml:space="preserve">Thème(s)</w:t>
      </w:r>
    </w:p>
    <w:p>
      <w:pPr/>
      <w:r>
        <w:rPr/>
        <w:t xml:space="preserve">Usages &gt; Aspect écologique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Pelletier D., Leonardi S., 2010, Propositions d’indicateurs d’une gestion durable des ressources halieutiques – Application au Parc Naturel Marin de l’Iroise », Rapport Ifremer Brest, 83p.</w:t>
      </w:r>
    </w:p>
    <w:p>
      <w:pPr/>
      <w:r>
        <w:rPr>
          <w:color w:val="0087a5"/>
          <w:sz w:val="26"/>
          <w:szCs w:val="26"/>
          <w:b w:val="1"/>
          <w:bCs w:val="1"/>
          <w:caps w:val="0"/>
        </w:rPr>
        <w:t xml:space="preserve">Indicateurs corrélés</w:t>
      </w:r>
    </w:p>
    <w:p>
      <w:pPr/>
      <w:r>
        <w:rPr>
          <w:color w:val="B79247"/>
          <w:sz w:val="22"/>
          <w:szCs w:val="22"/>
          <w:b w:val="1"/>
          <w:bCs w:val="1"/>
        </w:rPr>
        <w:t xml:space="preserve">Nombre de navires actifs par flottille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Nombre de mois d'activité par navire</w:t>
      </w:r>
    </w:p>
    <w:p>
      <w:pPr/>
      <w:r>
        <w:rPr>
          <w:b w:val="1"/>
          <w:bCs w:val="1"/>
        </w:rPr>
        <w:t xml:space="preserve">Source des données</w:t>
      </w:r>
    </w:p>
    <w:p>
      <w:pPr/>
      <w:r>
        <w:rPr/>
        <w:t xml:space="preserve">Liste des navires actifs  élaborée sur la base de trois sources de données (données VMS, calendriers d’activité et données SACROIS). Cette liste des navires précise pour chaque navire son taux de fréquentation et le nombre de mois d’activité dans le périmètre du Parc.</w:t>
      </w:r>
    </w:p>
    <w:p>
      <w:pPr/>
      <w:r>
        <w:rPr>
          <w:b w:val="1"/>
          <w:bCs w:val="1"/>
        </w:rPr>
        <w:t xml:space="preserve">Stratégie spatiale</w:t>
      </w:r>
    </w:p>
    <w:p>
      <w:pPr/>
      <w:r>
        <w:rPr/>
        <w:t xml:space="preserve">Navires actifs dans le Parc</w:t>
      </w:r>
    </w:p>
    <w:p>
      <w:pPr/>
      <w:r>
        <w:rPr>
          <w:b w:val="1"/>
          <w:bCs w:val="1"/>
        </w:rPr>
        <w:t xml:space="preserve">Stratégie temporelle</w:t>
      </w:r>
    </w:p>
    <w:p>
      <w:pPr/>
      <w:r>
        <w:rPr/>
        <w:t xml:space="preserve">Annuellement</w:t>
      </w:r>
    </w:p>
    <w:p>
      <w:pPr/>
      <w:r>
        <w:rPr>
          <w:b w:val="1"/>
          <w:bCs w:val="1"/>
        </w:rPr>
        <w:t xml:space="preserve">Moyens humains et matériels</w:t>
      </w:r>
    </w:p>
    <w:p>
      <w:pPr/>
      <w:r>
        <w:rPr/>
        <w:t xml:space="preserve">Matériel : /</w:t>
      </w:r>
      <w:br/>
      <w:br/>
      <w:r>
        <w:rPr/>
        <w:t xml:space="preserve">Moyens humains :</w:t>
      </w:r>
      <w:br/>
      <w:r>
        <w:rPr/>
        <w:t xml:space="preserve">- 1 chargé de mission</w:t>
      </w:r>
      <w:br/>
      <w:r>
        <w:rPr/>
        <w:t xml:space="preserve">- 1 référent Ifremer</w:t>
      </w:r>
    </w:p>
    <w:p>
      <w:pPr/>
      <w:r>
        <w:rPr>
          <w:b w:val="1"/>
          <w:bCs w:val="1"/>
        </w:rPr>
        <w:t xml:space="preserve">Protocole de récolte</w:t>
      </w:r>
    </w:p>
    <w:p>
      <w:pPr/>
      <w:r>
        <w:rPr/>
        <w:t xml:space="preserve">Les données nécessaires au calcul de la métrique sont directement récupérées dans l'extraction fournie par l'Ifremer.</w:t>
      </w:r>
    </w:p>
    <w:p>
      <w:pPr/>
      <w:r>
        <w:rPr/>
        <w:t xml:space="preserve">La liste des navires permet également de faire des calculs précis puisque la flottille et le taux de fréquentation sont précisés pour chacun des navires.</w:t>
      </w:r>
    </w:p>
    <w:p>
      <w:pPr/>
      <w:r>
        <w:rPr>
          <w:b w:val="1"/>
          <w:bCs w:val="1"/>
        </w:rPr>
        <w:t xml:space="preserve">Référentiel(s) utilisé(s)</w:t>
      </w:r>
    </w:p>
    <w:p>
      <w:pPr/>
      <w:r>
        <w:rPr/>
        <w:t xml:space="preserve">flottilles Ifremer</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de mois d'activité</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p>
    <w:p>
      <w:pPr/>
      <w:r>
        <w:rPr>
          <w:b w:val="1"/>
          <w:bCs w:val="1"/>
        </w:rPr>
        <w:t xml:space="preserve">Méthode de calcul</w:t>
      </w:r>
    </w:p>
    <w:p>
      <w:pPr/>
      <w:r>
        <w:rPr/>
        <w:t xml:space="preserve">Deux calculs sont opérés pour cette métrique :</w:t>
      </w:r>
    </w:p>
    <w:p>
      <w:pPr/>
      <w:r>
        <w:rPr/>
        <w:t xml:space="preserve">	</w:t>
      </w:r>
    </w:p>
    <w:p>
      <w:pPr>
        <w:numPr>
          <w:ilvl w:val="0"/>
          <w:numId w:val="1"/>
        </w:numPr>
      </w:pPr>
      <w:r>
        <w:rPr/>
        <w:t xml:space="preserve">le nombre total de mois d'activité par flottille :	</w:t>
      </w:r>
      <w:r>
        <w:pict>
          <v:shape type="#_x0000_t75" stroked="f" style="width:362pt; height:33pt; margin-left:0pt; margin-top:0pt; mso-position-horizontal:left; mso-position-vertical:top; mso-position-horizontal-relative:char; mso-position-vertical-relative:line;">
            <w10:wrap type="inline"/>
            <v:imagedata r:id="rId7" o:title=""/>
          </v:shape>
        </w:pict>
      </w:r>
      <w:r>
        <w:rPr/>
        <w:t xml:space="preserve">	</w:t>
      </w:r>
    </w:p>
    <w:p>
      <w:pPr/>
      <w:r>
        <w:rPr/>
        <w:t xml:space="preserve">	</w:t>
      </w:r>
    </w:p>
    <w:p>
      <w:pPr>
        <w:numPr>
          <w:ilvl w:val="0"/>
          <w:numId w:val="1"/>
        </w:numPr>
      </w:pPr>
      <w:r>
        <w:rPr/>
        <w:t xml:space="preserve">le nombre moyen de mois d'activité par flottille : 	</w:t>
      </w:r>
      <w:r>
        <w:pict>
          <v:shape type="#_x0000_t75" stroked="f" style="width:353pt; height:40pt; margin-left:0pt; margin-top:0pt; mso-position-horizontal:left; mso-position-vertical:top; mso-position-horizontal-relative:char; mso-position-vertical-relative:line;">
            <w10:wrap type="inline"/>
            <v:imagedata r:id="rId8" o:title=""/>
          </v:shape>
        </w:pict>
      </w:r>
      <w:r>
        <w:rPr/>
        <w:t xml:space="preserve">	</w:t>
      </w:r>
    </w:p>
    <w:p>
      <w:pPr/>
      <w:r>
        <w:rPr/>
        <w:t xml:space="preserve">Pour plus de précision, il est possible de réaliser ces calculs en intégrant le taux de fréquentation des navires.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Calcul réalisé une fois par an, sur les données de l'année N-2</w:t>
      </w:r>
    </w:p>
    <w:p>
      <w:pPr/>
      <w:r>
        <w:rPr>
          <w:color w:val="B79247"/>
          <w:sz w:val="22"/>
          <w:szCs w:val="22"/>
          <w:b w:val="1"/>
          <w:bCs w:val="1"/>
        </w:rPr>
        <w:t xml:space="preserve">Moyens humains et matériels</w:t>
      </w:r>
    </w:p>
    <w:p>
      <w:pPr/>
      <w:r>
        <w:rPr/>
        <w:t xml:space="preserve">Matériel :</w:t>
      </w:r>
      <w:br/>
      <w:r>
        <w:rPr/>
        <w:t xml:space="preserve">- logiciel R</w:t>
      </w:r>
      <w:br/>
      <w:br/>
      <w:r>
        <w:rPr/>
        <w:t xml:space="preserve">Moyens humains :</w:t>
      </w:r>
      <w:br/>
      <w:r>
        <w:rPr/>
        <w:t xml:space="preserve">- 1 chargé de mission (0.2j ETP)</w:t>
      </w:r>
    </w:p>
    <w:p>
      <w:pPr/>
      <w:r>
        <w:rPr>
          <w:color w:val="B79247"/>
          <w:sz w:val="22"/>
          <w:szCs w:val="22"/>
          <w:b w:val="1"/>
          <w:bCs w:val="1"/>
        </w:rPr>
        <w:t xml:space="preserve">Méthode de calcul</w:t>
      </w:r>
    </w:p>
    <w:p>
      <w:pPr/>
      <w:r>
        <w:rPr/>
        <w:t xml:space="preserve">A partir des informations par navire (voire de leur taux de fréquentation selon le niveau de précision choisi pour le calcul de l'indicateur), un test statistique est appliqué pour évaluer l'évolution du nombre total de mois d'activité pour chacune des flottilles. L'évolution (augmentation, stabilité, diminution) est évaluée pour chacune des flottilles. </w:t>
      </w:r>
      <w:br/>
      <w:r>
        <w:rPr/>
        <w:t xml:space="preserve">Une moyenne de ces 12 valeurs est ensuite réalisée pour avoir une idée de la qualification de cet indice.</w:t>
      </w:r>
    </w:p>
    <w:p>
      <w:pPr/>
      <w:r>
        <w:rPr>
          <w:color w:val="B79247"/>
          <w:sz w:val="22"/>
          <w:szCs w:val="22"/>
          <w:b w:val="1"/>
          <w:bCs w:val="1"/>
        </w:rPr>
        <w:t xml:space="preserve">Lecture</w:t>
      </w:r>
    </w:p>
    <w:p>
      <w:pPr/>
      <w:r>
        <w:rPr/>
        <w:t xml:space="preserve">La grille de lecture s’intéresse à l’évolution du nombre total de mois d'activité en fonction de l’évolution des stocks. Par conséquent, l’évaluation de ces métriques dépend de l’évaluation des indicateurs relatifs aux stocks.</w:t>
      </w:r>
    </w:p>
    <w:p>
      <w:pPr/>
      <w:r>
        <w:rPr>
          <w:color w:val="B79247"/>
          <w:sz w:val="22"/>
          <w:szCs w:val="22"/>
          <w:b w:val="1"/>
          <w:bCs w:val="1"/>
        </w:rPr>
        <w:t xml:space="preserve">Grille de lecture</w:t>
      </w:r>
    </w:p>
    <w:tbl>
      <w:tblGrid>
        <w:gridCol w:w="1500" w:type="dxa"/>
        <w:gridCol w:w="20" w:type="dxa"/>
        <w:gridCol w:w="1700" w:type="dxa"/>
        <w:gridCol w:w="1700" w:type="dxa"/>
        <w:gridCol w:w="1700" w:type="dxa"/>
      </w:tblGrid>
      <w:tblPr>
        <w:jc w:val="center"/>
        <w:tblW w:w="80" w:type="dxa"/>
        <w:tblLayout w:type="autofit"/>
      </w:tblPr>
      <w:tr>
        <w:trPr>
          <w:trHeight w:val="855" w:hRule="exact"/>
        </w:trPr>
        <w:tc>
          <w:tcPr>
            <w:tcW w:w="1500" w:type="dxa"/>
            <w:tcMar>
              <w:top w:w="0" w:type="dxa"/>
              <w:start w:w="78" w:type="dxa"/>
              <w:bottom w:w="0" w:type="dxa"/>
              <w:end w:w="78" w:type="dxa"/>
            </w:tcMar>
            <w:noWrap/>
          </w:tcPr>
          <w:p>
            <w:pPr>
              <w:jc w:val="center"/>
            </w:pPr>
            <w:r>
              <w:rPr/>
              <w:t xml:space="preserve">Adaptation Effort/Ressource ?</w:t>
            </w:r>
          </w:p>
        </w:tc>
        <w:tc>
          <w:tcPr>
            <w:tcW w:w="20" w:type="dxa"/>
            <w:tcMar>
              <w:top w:w="0" w:type="dxa"/>
              <w:start w:w="78" w:type="dxa"/>
              <w:bottom w:w="0" w:type="dxa"/>
              <w:end w:w="78" w:type="dxa"/>
            </w:tcMar>
            <w:noWrap/>
          </w:tcPr>
          <w:p>
            <w:pPr>
              <w:jc w:val="center"/>
            </w:pPr>
            <w:r>
              <w:rPr/>
              <w:t xml:space="preserve">Amélioration ou</w:t>
            </w:r>
          </w:p>
          <w:p>
            <w:pPr>
              <w:jc w:val="center"/>
            </w:pPr>
            <w:r>
              <w:rPr/>
              <w:t xml:space="preserve">bon état du stock</w:t>
            </w:r>
          </w:p>
        </w:tc>
        <w:tc>
          <w:tcPr>
            <w:tcW w:w="1700" w:type="dxa"/>
            <w:tcMar>
              <w:top w:w="0" w:type="dxa"/>
              <w:start w:w="78" w:type="dxa"/>
              <w:bottom w:w="0" w:type="dxa"/>
              <w:end w:w="78" w:type="dxa"/>
            </w:tcMar>
            <w:noWrap/>
          </w:tcPr>
          <w:p>
            <w:pPr>
              <w:jc w:val="center"/>
            </w:pPr>
            <w:r>
              <w:rPr/>
              <w:t xml:space="preserve">Tendance à la stabilité du stock</w:t>
            </w:r>
          </w:p>
        </w:tc>
        <w:tc>
          <w:tcPr>
            <w:tcW w:w="1700" w:type="dxa"/>
            <w:tcMar>
              <w:top w:w="0" w:type="dxa"/>
              <w:start w:w="78" w:type="dxa"/>
              <w:bottom w:w="0" w:type="dxa"/>
              <w:end w:w="78" w:type="dxa"/>
            </w:tcMar>
            <w:noWrap/>
          </w:tcPr>
          <w:p>
            <w:pPr>
              <w:jc w:val="center"/>
            </w:pPr>
            <w:r>
              <w:rPr/>
              <w:t xml:space="preserve">Dégradation ou mauvais état du stock</w:t>
            </w:r>
          </w:p>
        </w:tc>
        <w:tc>
          <w:tcPr>
            <w:tcW w:w="1700" w:type="dxa"/>
            <w:tcMar>
              <w:top w:w="0" w:type="dxa"/>
              <w:start w:w="78" w:type="dxa"/>
              <w:bottom w:w="0" w:type="dxa"/>
              <w:end w:w="78" w:type="dxa"/>
            </w:tcMar>
            <w:noWrap/>
          </w:tcPr>
          <w:p>
            <w:pPr>
              <w:jc w:val="center"/>
            </w:pPr>
            <w:r>
              <w:rPr/>
              <w:t xml:space="preserve">État inconnu</w:t>
            </w:r>
          </w:p>
        </w:tc>
      </w:tr>
      <w:tr>
        <w:trPr>
          <w:trHeight w:val="702.0000000000001" w:hRule="exact"/>
        </w:trPr>
        <w:tc>
          <w:tcPr>
            <w:tcW w:w="1500" w:type="dxa"/>
            <w:tcMar>
              <w:top w:w="0" w:type="dxa"/>
              <w:start w:w="78" w:type="dxa"/>
              <w:bottom w:w="0" w:type="dxa"/>
              <w:end w:w="78" w:type="dxa"/>
            </w:tcMar>
            <w:noWrap/>
          </w:tcPr>
          <w:p>
            <w:pPr>
              <w:jc w:val="both"/>
            </w:pPr>
            <w:r>
              <w:rPr/>
              <w:t xml:space="preserve">Nb navires et/ou Nb mois</w:t>
            </w:r>
          </w:p>
          <w:p>
            <w:pPr>
              <w:jc w:val="both"/>
            </w:pPr>
            <w:r>
              <w:rPr/>
              <w:t xml:space="preserve">Tendance à l’augmentation</w:t>
            </w:r>
          </w:p>
        </w:tc>
        <w:tc>
          <w:tcPr>
            <w:tcW w:w="20" w:type="dxa"/>
            <w:tcMar>
              <w:top w:w="0" w:type="dxa"/>
              <w:start w:w="78" w:type="dxa"/>
              <w:bottom w:w="0" w:type="dxa"/>
              <w:end w:w="78" w:type="dxa"/>
            </w:tcMar>
            <w:noWrap/>
          </w:tcPr>
          <w:p>
            <w:pPr>
              <w:jc w:val="center"/>
            </w:pPr>
            <w:r>
              <w:rPr/>
              <w:t xml:space="preserve">bon</w:t>
            </w:r>
          </w:p>
          <w:p>
            <w:pPr>
              <w:jc w:val="center"/>
            </w:pPr>
            <w:r>
              <w:rPr/>
              <w:t xml:space="preserve">(score=4)</w:t>
            </w:r>
          </w:p>
        </w:tc>
        <w:tc>
          <w:tcPr>
            <w:tcW w:w="1700" w:type="dxa"/>
            <w:tcMar>
              <w:top w:w="0" w:type="dxa"/>
              <w:start w:w="78" w:type="dxa"/>
              <w:bottom w:w="0" w:type="dxa"/>
              <w:end w:w="78" w:type="dxa"/>
            </w:tcMar>
            <w:noWrap/>
          </w:tcPr>
          <w:p>
            <w:pPr>
              <w:jc w:val="center"/>
            </w:pPr>
            <w:r>
              <w:rPr/>
              <w:t xml:space="preserve">moyen</w:t>
            </w:r>
          </w:p>
          <w:p>
            <w:pPr>
              <w:jc w:val="center"/>
            </w:pPr>
            <w:r>
              <w:rPr/>
              <w:t xml:space="preserve">(score=3)</w:t>
            </w:r>
          </w:p>
        </w:tc>
        <w:tc>
          <w:tcPr>
            <w:tcW w:w="1700" w:type="dxa"/>
            <w:tcMar>
              <w:top w:w="0" w:type="dxa"/>
              <w:start w:w="78" w:type="dxa"/>
              <w:bottom w:w="0" w:type="dxa"/>
              <w:end w:w="78" w:type="dxa"/>
            </w:tcMar>
            <w:noWrap/>
          </w:tcPr>
          <w:p>
            <w:pPr>
              <w:jc w:val="center"/>
            </w:pPr>
            <w:r>
              <w:rPr/>
              <w:t xml:space="preserve">très mauvais</w:t>
            </w:r>
          </w:p>
          <w:p>
            <w:pPr>
              <w:jc w:val="center"/>
            </w:pPr>
            <w:r>
              <w:rPr/>
              <w:t xml:space="preserve">(score=1)</w:t>
            </w:r>
          </w:p>
        </w:tc>
        <w:tc>
          <w:tcPr>
            <w:tcW w:w="1700" w:type="dxa"/>
            <w:tcMar>
              <w:top w:w="0" w:type="dxa"/>
              <w:start w:w="78" w:type="dxa"/>
              <w:bottom w:w="0" w:type="dxa"/>
              <w:end w:w="78" w:type="dxa"/>
            </w:tcMar>
            <w:noWrap/>
          </w:tcPr>
          <w:p>
            <w:pPr>
              <w:jc w:val="center"/>
            </w:pPr>
            <w:r>
              <w:rPr/>
              <w:t xml:space="preserve">indéterminé</w:t>
            </w:r>
          </w:p>
        </w:tc>
      </w:tr>
      <w:tr>
        <w:trPr>
          <w:trHeight w:val="669" w:hRule="exact"/>
        </w:trPr>
        <w:tc>
          <w:tcPr>
            <w:tcW w:w="1500" w:type="dxa"/>
            <w:tcMar>
              <w:top w:w="0" w:type="dxa"/>
              <w:start w:w="78" w:type="dxa"/>
              <w:bottom w:w="0" w:type="dxa"/>
              <w:end w:w="78" w:type="dxa"/>
            </w:tcMar>
            <w:noWrap/>
          </w:tcPr>
          <w:p>
            <w:pPr>
              <w:jc w:val="both"/>
            </w:pPr>
            <w:r>
              <w:rPr/>
              <w:t xml:space="preserve">Nb navires et/ou Nb mois</w:t>
            </w:r>
          </w:p>
          <w:p>
            <w:pPr>
              <w:jc w:val="both"/>
            </w:pPr>
            <w:r>
              <w:rPr/>
              <w:t xml:space="preserve">Tendance à la stabilité</w:t>
            </w:r>
          </w:p>
        </w:tc>
        <w:tc>
          <w:tcPr>
            <w:tcW w:w="20" w:type="dxa"/>
            <w:tcMar>
              <w:top w:w="0" w:type="dxa"/>
              <w:start w:w="78" w:type="dxa"/>
              <w:bottom w:w="0" w:type="dxa"/>
              <w:end w:w="78" w:type="dxa"/>
            </w:tcMar>
            <w:noWrap/>
          </w:tcPr>
          <w:p>
            <w:pPr>
              <w:jc w:val="center"/>
            </w:pPr>
            <w:r>
              <w:rPr/>
              <w:t xml:space="preserve">très bon</w:t>
            </w:r>
          </w:p>
          <w:p>
            <w:pPr>
              <w:jc w:val="center"/>
            </w:pPr>
            <w:r>
              <w:rPr/>
              <w:t xml:space="preserve">(score=5)</w:t>
            </w:r>
          </w:p>
        </w:tc>
        <w:tc>
          <w:tcPr>
            <w:tcW w:w="1700" w:type="dxa"/>
            <w:tcMar>
              <w:top w:w="0" w:type="dxa"/>
              <w:start w:w="78" w:type="dxa"/>
              <w:bottom w:w="0" w:type="dxa"/>
              <w:end w:w="78" w:type="dxa"/>
            </w:tcMar>
            <w:noWrap/>
          </w:tcPr>
          <w:p>
            <w:pPr>
              <w:jc w:val="center"/>
            </w:pPr>
            <w:r>
              <w:rPr/>
              <w:t xml:space="preserve">moyen</w:t>
            </w:r>
          </w:p>
          <w:p>
            <w:pPr>
              <w:jc w:val="center"/>
            </w:pPr>
            <w:r>
              <w:rPr/>
              <w:t xml:space="preserve">(score=3)</w:t>
            </w:r>
          </w:p>
        </w:tc>
        <w:tc>
          <w:tcPr>
            <w:tcW w:w="1700" w:type="dxa"/>
            <w:tcMar>
              <w:top w:w="0" w:type="dxa"/>
              <w:start w:w="78" w:type="dxa"/>
              <w:bottom w:w="0" w:type="dxa"/>
              <w:end w:w="78" w:type="dxa"/>
            </w:tcMar>
            <w:noWrap/>
          </w:tcPr>
          <w:p>
            <w:pPr>
              <w:jc w:val="center"/>
            </w:pPr>
            <w:r>
              <w:rPr/>
              <w:t xml:space="preserve">très mauvais</w:t>
            </w:r>
          </w:p>
          <w:p>
            <w:pPr>
              <w:jc w:val="center"/>
            </w:pPr>
            <w:r>
              <w:rPr/>
              <w:t xml:space="preserve">(score=1)</w:t>
            </w:r>
          </w:p>
        </w:tc>
        <w:tc>
          <w:tcPr>
            <w:tcW w:w="1700" w:type="dxa"/>
            <w:tcMar>
              <w:top w:w="0" w:type="dxa"/>
              <w:start w:w="78" w:type="dxa"/>
              <w:bottom w:w="0" w:type="dxa"/>
              <w:end w:w="78" w:type="dxa"/>
            </w:tcMar>
            <w:noWrap/>
          </w:tcPr>
          <w:p>
            <w:pPr>
              <w:jc w:val="center"/>
            </w:pPr>
            <w:r>
              <w:rPr/>
              <w:t xml:space="preserve">indéterminé</w:t>
            </w:r>
          </w:p>
        </w:tc>
      </w:tr>
      <w:tr>
        <w:trPr>
          <w:trHeight w:val="822" w:hRule="exact"/>
        </w:trPr>
        <w:tc>
          <w:tcPr>
            <w:tcW w:w="1500" w:type="dxa"/>
            <w:tcMar>
              <w:top w:w="0" w:type="dxa"/>
              <w:start w:w="78" w:type="dxa"/>
              <w:bottom w:w="0" w:type="dxa"/>
              <w:end w:w="78" w:type="dxa"/>
            </w:tcMar>
            <w:noWrap/>
          </w:tcPr>
          <w:p>
            <w:pPr>
              <w:jc w:val="both"/>
            </w:pPr>
            <w:r>
              <w:rPr/>
              <w:t xml:space="preserve">Nb navires et/ou Nb mois</w:t>
            </w:r>
          </w:p>
          <w:p>
            <w:pPr>
              <w:jc w:val="both"/>
            </w:pPr>
            <w:r>
              <w:rPr/>
              <w:t xml:space="preserve">Tendance à la diminution</w:t>
            </w:r>
          </w:p>
        </w:tc>
        <w:tc>
          <w:tcPr>
            <w:tcW w:w="20" w:type="dxa"/>
            <w:tcMar>
              <w:top w:w="0" w:type="dxa"/>
              <w:start w:w="78" w:type="dxa"/>
              <w:bottom w:w="0" w:type="dxa"/>
              <w:end w:w="78" w:type="dxa"/>
            </w:tcMar>
            <w:noWrap/>
          </w:tcPr>
          <w:p>
            <w:pPr>
              <w:jc w:val="center"/>
            </w:pPr>
            <w:r>
              <w:rPr/>
              <w:t xml:space="preserve">très bon</w:t>
            </w:r>
          </w:p>
          <w:p>
            <w:pPr>
              <w:jc w:val="center"/>
            </w:pPr>
            <w:r>
              <w:rPr/>
              <w:t xml:space="preserve">(score=5)</w:t>
            </w:r>
          </w:p>
        </w:tc>
        <w:tc>
          <w:tcPr>
            <w:tcW w:w="1700" w:type="dxa"/>
            <w:tcMar>
              <w:top w:w="0" w:type="dxa"/>
              <w:start w:w="78" w:type="dxa"/>
              <w:bottom w:w="0" w:type="dxa"/>
              <w:end w:w="78" w:type="dxa"/>
            </w:tcMar>
            <w:noWrap/>
          </w:tcPr>
          <w:p>
            <w:pPr>
              <w:jc w:val="center"/>
            </w:pPr>
            <w:r>
              <w:rPr/>
              <w:t xml:space="preserve">bon</w:t>
            </w:r>
          </w:p>
          <w:p>
            <w:pPr>
              <w:jc w:val="center"/>
            </w:pPr>
            <w:r>
              <w:rPr/>
              <w:t xml:space="preserve">(score=4)</w:t>
            </w:r>
          </w:p>
        </w:tc>
        <w:tc>
          <w:tcPr>
            <w:tcW w:w="1700" w:type="dxa"/>
            <w:tcMar>
              <w:top w:w="0" w:type="dxa"/>
              <w:start w:w="78" w:type="dxa"/>
              <w:bottom w:w="0" w:type="dxa"/>
              <w:end w:w="78" w:type="dxa"/>
            </w:tcMar>
            <w:noWrap/>
          </w:tcPr>
          <w:p>
            <w:pPr>
              <w:jc w:val="center"/>
            </w:pPr>
            <w:r>
              <w:rPr/>
              <w:t xml:space="preserve">mauvais</w:t>
            </w:r>
          </w:p>
          <w:p>
            <w:pPr>
              <w:jc w:val="center"/>
            </w:pPr>
            <w:r>
              <w:rPr/>
              <w:t xml:space="preserve">(score=2)</w:t>
            </w:r>
          </w:p>
        </w:tc>
        <w:tc>
          <w:tcPr>
            <w:tcW w:w="1700" w:type="dxa"/>
            <w:tcMar>
              <w:top w:w="0" w:type="dxa"/>
              <w:start w:w="78" w:type="dxa"/>
              <w:bottom w:w="0" w:type="dxa"/>
              <w:end w:w="78" w:type="dxa"/>
            </w:tcMar>
            <w:noWrap/>
          </w:tcPr>
          <w:p>
            <w:pPr>
              <w:jc w:val="center"/>
            </w:pPr>
            <w:r>
              <w:rPr/>
              <w:t xml:space="preserve">indéterminé</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2A836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2026-10-06T03:10:19+02:00</dcterms:created>
  <dcterms:modified xsi:type="dcterms:W3CDTF">2026-10-06T03:10:19+02:00</dcterms:modified>
</cp:coreProperties>
</file>

<file path=docProps/custom.xml><?xml version="1.0" encoding="utf-8"?>
<Properties xmlns="http://schemas.openxmlformats.org/officeDocument/2006/custom-properties" xmlns:vt="http://schemas.openxmlformats.org/officeDocument/2006/docPropsVTypes"/>
</file>