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Ratio "poissons coralligènes / herbivores"</w:t>
      </w:r>
    </w:p>
    <w:p>
      <w:pPr/>
      <w:r>
        <w:rPr/>
        <w:t xml:space="preserve">Version du 03/06/2020 à 05:25:03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Indice permettant de calculer l'indicateur "Etat de conservation des récifs coralliens"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L'indicateur permet d'évaluer le ratio entre les poissons corraligènes et ceux herbivores.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F3. Le rendu de fonctions écologiques clefs [frayères, nourriceries, nurseries, productivité, repos, alimentation, migration..]</w:t>
      </w:r>
      <w:br/>
      <w:r>
        <w:rPr/>
        <w:t xml:space="preserve">F6. Le développement durable des usages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DCE [Directive-cadre sur l'eau]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Ecosystèmes tropicaux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Buchet R., 2010, Directive Cadre sur l’Eau : Etat des lieux des travaux DCE relatifs aux masses d'eau littorales dans les départements d'outre-mer, Rapport Ifremer - Centre de Nantes - DYNECO/VIGIES, 100p.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Le Moal M., 2012, Bioindicateurs (récifs corallien s et phanérogames) pour qualifier l’état  écologique des masses d’eaux côtières en outre-mer, dans le cadre de la Directive Cadre sur l’Eau, Etude bibliographique. MNHN-SPN, Paris, 32p.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2026-05-20T09:15:45+02:00</dcterms:created>
  <dcterms:modified xsi:type="dcterms:W3CDTF">2026-05-20T09:15:45+02:00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