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variation de la surface herbiers</w:t>
      </w:r>
    </w:p>
    <w:p>
      <w:pPr/>
      <w:r>
        <w:rPr/>
        <w:t xml:space="preserve">Version du 21/04/2020 à 05:59:21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Surface herbiers » permet d’évaluer l’évolution de la surface totale d’herbier dans l'AMP (Posidonie ou autres espèces).</w:t>
      </w:r>
    </w:p>
    <w:p>
      <w:pPr/>
      <w:r>
        <w:rPr>
          <w:color w:val="B79247"/>
          <w:sz w:val="22"/>
          <w:szCs w:val="22"/>
          <w:b w:val="1"/>
          <w:bCs w:val="1"/>
        </w:rPr>
        <w:t xml:space="preserve">Objet évalué</w:t>
      </w:r>
    </w:p>
    <w:p>
      <w:pPr/>
      <w:r>
        <w:rPr/>
        <w:t xml:space="preserve">L’indicateur « Surface herbiers » permet d’évaluer l’évolution de la surface totale d’herbier dans l'AMP (Posidonie ou autres espèces). </w:t>
      </w:r>
    </w:p>
    <w:p>
      <w:pPr/>
      <w:r>
        <w:rPr>
          <w:color w:val="B79247"/>
          <w:sz w:val="22"/>
          <w:szCs w:val="22"/>
          <w:b w:val="1"/>
          <w:bCs w:val="1"/>
        </w:rPr>
        <w:t xml:space="preserve">Finalité(s)</w:t>
      </w:r>
    </w:p>
    <w:p>
      <w:pPr/>
      <w:r>
        <w:rPr/>
        <w:t xml:space="preserve">F3. Le rendu de fonctions écologiques clefs [frayères, nourriceries, nurseries, productivité, repos, alimentation, migration..]</w:t>
      </w:r>
      <w:br/>
      <w:r>
        <w:rPr/>
        <w:t xml:space="preserve">F4. Le bon état des eaux marines</w:t>
      </w:r>
    </w:p>
    <w:p>
      <w:pPr/>
      <w:r>
        <w:rPr>
          <w:color w:val="B79247"/>
          <w:sz w:val="22"/>
          <w:szCs w:val="22"/>
          <w:b w:val="1"/>
          <w:bCs w:val="1"/>
        </w:rPr>
        <w:t xml:space="preserve">Déclinaison locale des finalités</w:t>
      </w:r>
    </w:p>
    <w:p>
      <w:pPr/>
      <w:r>
        <w:rPr/>
        <w:t xml:space="preserve">PNM golfe du Lion</w:t>
      </w:r>
    </w:p>
    <w:p>
      <w:pPr/>
      <w:r>
        <w:rPr>
          <w:color w:val="B79247"/>
          <w:sz w:val="22"/>
          <w:szCs w:val="22"/>
          <w:b w:val="1"/>
          <w:bCs w:val="1"/>
        </w:rPr>
        <w:t xml:space="preserve">Thème(s)</w:t>
      </w:r>
    </w:p>
    <w:p>
      <w:pPr/>
      <w:r>
        <w:rPr/>
        <w:t xml:space="preserve">Patrimoine naturel</w:t>
      </w:r>
      <w:br/>
      <w:r>
        <w:rPr/>
        <w:t xml:space="preserve">Patrimoine naturel &gt; Habitats benthiques</w:t>
      </w:r>
    </w:p>
    <w:p>
      <w:pPr/>
      <w:r>
        <w:rPr>
          <w:color w:val="B79247"/>
          <w:sz w:val="22"/>
          <w:szCs w:val="22"/>
          <w:b w:val="1"/>
          <w:bCs w:val="1"/>
        </w:rPr>
        <w:t xml:space="preserve">Ecorégion</w:t>
      </w:r>
    </w:p>
    <w:p>
      <w:pPr/>
      <w:r>
        <w:rPr/>
        <w:t xml:space="preserve">Ecosystèmes tempérés</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Personnic S., Boudouresque C.F., Astruch P., Ballesteros E., Blouet S., Bellan-Santini D., Bonhomme P., Thibault-Botha D., Feunteun E., Harmelin-Vivien M., Pergent G., Pergent-Martini C., Pastor J., Poggiale J.C., Renaud F., Thibaut T., Ruitton S., 2014, An ecosystem-based approach to assess the status of a Mediterranean ecosystem, the Posidonia oceanica seagrass meadow, PLoS ONE, vol. 9, (n°6), 17p.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Surface d'herbiers</w:t>
      </w:r>
    </w:p>
    <w:p>
      <w:pPr/>
      <w:r>
        <w:rPr>
          <w:b w:val="1"/>
          <w:bCs w:val="1"/>
        </w:rPr>
        <w:t xml:space="preserve">Source des données</w:t>
      </w:r>
    </w:p>
    <w:p>
      <w:pPr/>
      <w:r>
        <w:rPr/>
        <w:t xml:space="preserve">suivis réalisés par l'AMP</w:t>
      </w:r>
    </w:p>
    <w:p>
      <w:pPr/>
      <w:r>
        <w:rPr>
          <w:b w:val="1"/>
          <w:bCs w:val="1"/>
        </w:rPr>
        <w:t xml:space="preserve">Stratégie spatiale</w:t>
      </w:r>
    </w:p>
    <w:p>
      <w:pPr/>
      <w:r>
        <w:rPr/>
        <w:t xml:space="preserve">l'ensemble des herbiers contenus dans le périmètre de l'AMP</w:t>
      </w:r>
    </w:p>
    <w:p>
      <w:pPr/>
      <w:r>
        <w:rPr>
          <w:b w:val="1"/>
          <w:bCs w:val="1"/>
        </w:rPr>
        <w:t xml:space="preserve">Stratégie temporelle</w:t>
      </w:r>
    </w:p>
    <w:p>
      <w:pPr/>
      <w:r>
        <w:rPr/>
        <w:t xml:space="preserve">tous les 6 ans, au mois de mai</w:t>
      </w:r>
    </w:p>
    <w:p>
      <w:pPr/>
      <w:r>
        <w:rPr>
          <w:b w:val="1"/>
          <w:bCs w:val="1"/>
        </w:rPr>
        <w:t xml:space="preserve">Moyens humains et matériels</w:t>
      </w:r>
    </w:p>
    <w:p>
      <w:pPr/>
      <w:r>
        <w:rPr/>
        <w:t xml:space="preserve">Matériel : </w:t>
      </w:r>
      <w:br/>
      <w:r>
        <w:rPr/>
        <w:t xml:space="preserve">- sonar</w:t>
      </w:r>
      <w:br/>
      <w:r>
        <w:rPr/>
        <w:t xml:space="preserve">- sondeur monofaisceau</w:t>
      </w:r>
      <w:br/>
      <w:br/>
      <w:r>
        <w:rPr/>
        <w:t xml:space="preserve">Humain : </w:t>
      </w:r>
      <w:br/>
      <w:r>
        <w:rPr/>
        <w:t xml:space="preserve">- chargés de mission</w:t>
      </w:r>
    </w:p>
    <w:p>
      <w:pPr/>
      <w:r>
        <w:rPr>
          <w:b w:val="1"/>
          <w:bCs w:val="1"/>
        </w:rPr>
        <w:t xml:space="preserve">Protocole de récolte</w:t>
      </w:r>
    </w:p>
    <w:p>
      <w:pPr/>
      <w:r>
        <w:rPr/>
        <w:t xml:space="preserve">Les données sont collectées par levés sonar et sondeur monofaisceau réalisés par l’équipe du Parc et/ou ses partenaires scientifiques afin d’établir une cartographie des herbiers de posidonie.</w:t>
      </w:r>
      <w:br/>
      <w:r>
        <w:rPr/>
        <w:t xml:space="preserve">•    Stratégie temporelle : Tous les 6 ans (mai)</w:t>
      </w:r>
      <w:br/>
      <w:r>
        <w:rPr/>
        <w:t xml:space="preserve">•    Stratégie spatiale : Tous les herbiers du Parc.</w:t>
      </w:r>
    </w:p>
    <w:p>
      <w:pP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à l'échelle de l'AMP</w:t>
      </w:r>
    </w:p>
    <w:p>
      <w:pPr/>
      <w:r>
        <w:rPr>
          <w:color w:val="B79247"/>
          <w:sz w:val="22"/>
          <w:szCs w:val="22"/>
          <w:b w:val="1"/>
          <w:bCs w:val="1"/>
        </w:rPr>
        <w:t xml:space="preserve">Stratégie temporelle</w:t>
      </w:r>
    </w:p>
    <w:p>
      <w:pPr/>
      <w:r>
        <w:rPr/>
        <w:t xml:space="preserve">tous les 6 ans, au mois de mai</w:t>
      </w:r>
    </w:p>
    <w:p>
      <w:pPr/>
      <w:r>
        <w:rPr>
          <w:color w:val="B79247"/>
          <w:sz w:val="22"/>
          <w:szCs w:val="22"/>
          <w:b w:val="1"/>
          <w:bCs w:val="1"/>
        </w:rPr>
        <w:t xml:space="preserve">Moyens humains et matériels</w:t>
      </w:r>
    </w:p>
    <w:p>
      <w:pPr/>
      <w:r>
        <w:rPr/>
        <w:t xml:space="preserve">chargé de mission</w:t>
      </w:r>
    </w:p>
    <w:p>
      <w:pPr/>
      <w:r>
        <w:rPr>
          <w:color w:val="B79247"/>
          <w:sz w:val="22"/>
          <w:szCs w:val="22"/>
          <w:b w:val="1"/>
          <w:bCs w:val="1"/>
        </w:rPr>
        <w:t xml:space="preserve">Méthode de calcul</w:t>
      </w:r>
    </w:p>
    <w:p>
      <w:pPr/>
      <w:r>
        <w:rPr/>
        <w:t xml:space="preserve">La surface totale des herbiers de l'AMP pour l’année N est comparée à celle de l’année N-6 (campagne d’acquisition précédente). La variation de surface est exprimée en pourcentage pour rentrer dans la grille de lecture.</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Pastor J., Courp T., Hebert B., Fort S., Grigoletto F., Crec'hriou R., Caro A., Neveu R., Barthe P., Vinesa R., Lenfant P., 2013, Suivi des herbiers de posidonies au sein du site Natura 2000 marin FR 910 1482 « Posidonies de la côte des Albères » saison 2012, CEFREM (UPVD-CNRS) - PNMGL, 82p.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2026-05-20T09:15:48+02:00</dcterms:created>
  <dcterms:modified xsi:type="dcterms:W3CDTF">2026-05-20T09:15:48+02:00</dcterms:modified>
</cp:coreProperties>
</file>

<file path=docProps/custom.xml><?xml version="1.0" encoding="utf-8"?>
<Properties xmlns="http://schemas.openxmlformats.org/officeDocument/2006/custom-properties" xmlns:vt="http://schemas.openxmlformats.org/officeDocument/2006/docPropsVTypes"/>
</file>