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Classement des sites de baignades</w:t>
      </w:r>
    </w:p>
    <w:p>
      <w:pPr/>
      <w:r>
        <w:rPr/>
        <w:t xml:space="preserve">Version du 21/04/2020 à 06:01:21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Classement des sites de baignades » permet d’évaluer le taux de zones de baignades, au sein d’une zone d’observation, classées en qualité « bonne » ou « excellente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Classement des sites de baignades » permet d’évaluer le taux de zones de baignades, au sein classées en qualité « bonne » ou « excellente ».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</w:t>
      </w:r>
      <w:br/>
      <w:r>
        <w:rPr/>
        <w:t xml:space="preserve">PNM Mayotte </w:t>
      </w:r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sanitaire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DB [Directive concernant la gestion de la qualité des eaux de baignade]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r>
        <w:rPr/>
        <w:t xml:space="preserve">C'est la réglementation sanitaire des eaux de baignade qui qualifie l'état, si une adaptation doit être appliquée, la réglementation devrait très probablement l'intégrer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PNM Mayotte, 2013, Plan de gestion PNM Mayotte, 420p.</w:t>
      </w:r>
    </w:p>
    <w:p>
      <w:pPr/>
      <w:r>
        <w:rPr/>
        <w:t xml:space="preserve">PNMI, 2010, Plan de gestion PNM Iroise - Finalités de gestion et carte des vocations, 730p.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2026-05-20T09:15:47+02:00</dcterms:created>
  <dcterms:modified xsi:type="dcterms:W3CDTF">2026-05-20T09:15:47+02:00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