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Etat écologique</w:t>
      </w:r>
    </w:p>
    <w:p>
      <w:pPr/>
      <w:r>
        <w:rPr/>
        <w:t xml:space="preserve">Version du 21/04/2020 à 05:43:21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Etat écologique des masses d'eau » permet d’évaluer le taux de masses d’eau DCE en bonne qualité écologique. Certains parcs utilisent également les données des masses d'eau DCE des bassins versants.</w:t>
      </w:r>
    </w:p>
    <w:p>
      <w:pPr/>
      <w:r>
        <w:rPr>
          <w:color w:val="B79247"/>
          <w:sz w:val="22"/>
          <w:szCs w:val="22"/>
          <w:b w:val="1"/>
          <w:bCs w:val="1"/>
        </w:rPr>
        <w:t xml:space="preserve">Objet évalué</w:t>
      </w:r>
    </w:p>
    <w:p>
      <w:pPr/>
      <w:r>
        <w:rPr/>
        <w:t xml:space="preserve">L’indicateur « Etat écologique des masses d'eau » permet d’évaluer le taux de masses d’eau DCE en bonne qualité écologique.</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w:t>
      </w:r>
      <w:br/>
      <w:r>
        <w:rPr/>
        <w:t xml:space="preserve">PNM golfe du Lion </w:t>
      </w:r>
      <w:br/>
      <w:r>
        <w:rPr/>
        <w:t xml:space="preserve">PNM estuaires Picards et de la mer d’Opale</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Etat écologique des masses d'eau</w:t>
      </w:r>
    </w:p>
    <w:p>
      <w:pPr/>
      <w:r>
        <w:rPr>
          <w:b w:val="1"/>
          <w:bCs w:val="1"/>
        </w:rPr>
        <w:t xml:space="preserve">Source des données</w:t>
      </w:r>
    </w:p>
    <w:p>
      <w:pPr/>
      <w:r>
        <w:rPr/>
        <w:t xml:space="preserve">suivis DCE</w:t>
      </w:r>
    </w:p>
    <w:p>
      <w:pPr/>
      <w:r>
        <w:rPr>
          <w:b w:val="1"/>
          <w:bCs w:val="1"/>
        </w:rPr>
        <w:t xml:space="preserve">Stratégie spatiale</w:t>
      </w:r>
    </w:p>
    <w:p>
      <w:pPr/>
      <w:r>
        <w:rPr/>
        <w:t xml:space="preserve">à l'échelle des masses d'eau DCE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br/>
      <w:r>
        <w:rPr/>
        <w:t xml:space="preserve"> </w:t>
      </w:r>
    </w:p>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t xml:space="preserve">seuil proposé à 90% entre la classe « moyenne » et « bonne ». Cette valeur est en dessous des ambitions de la DCE qui impose que toutes ces masses d’eau soient en qualité bonne à l’horizon 2015 avec des reports possibles, mais justifiés, pour 2021 et 2027. Cependant, il est à craindre que certaines masses d’eau ne pourront atteindre cet objectif et le seuil de 90% risque malgré tout d’être difficilement atteignable (faire le point sur les masses d’eau concernées, celles qui présentent un risque de non atteinte des objectifs environnementaux (RNAOE) dans le cadre de la révision du SDAGE). Actuellement, le taux de masses d’eau en « bon état écologique » est de seulement 20%. C’est pourquoi, il a été suggéré de rajouter une métrique concernant le nombre de masses d’eau ayant gagné une classe de qualité. Même si le bon état n’est pas systématiquement atteint, cela mettra en évidence les efforts réalisés sachant que 4 masses d’eau sont actuellement classées en médiocre ou mauvais et qu’une marge de progression importante est envisageable. Pour les lagunes, leur état date de la campagne DCE 2009, les résultats de la campagne 2012 seront disponibles fin 2013, début 2014.</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Il a été mentionné le fait que chaque masse d’eau n’a pas le même impact sur le milieu marin. Les grands fleuves (Têt, Tech, Agly), de part leurs débits, ont une plus grande influence que les petits cours d’eau. </w:t>
      </w:r>
      <w:br/>
      <w:r>
        <w:rPr/>
        <w:t xml:space="preserve">De même, les échanges avec la mer sont plus importants pour certaines lagunes. </w:t>
      </w:r>
      <w:br/>
      <w:r>
        <w:rPr/>
        <w:t xml:space="preserve">L’idée de distinguer des métriques en fonction de leur impact potentiel sur le milieu marin n’a toutefois pas été retenue car complexe à mettre en œuvre.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br/>
      <w:r>
        <w:rPr/>
        <w:t xml:space="preserve">Dans une AMP &gt; estuaires picards et mer d'Opale / Parc naturel marin</w:t>
      </w:r>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2026-10-06T03:10:18+02:00</dcterms:created>
  <dcterms:modified xsi:type="dcterms:W3CDTF">2026-10-06T03:10:18+02:00</dcterms:modified>
</cp:coreProperties>
</file>

<file path=docProps/custom.xml><?xml version="1.0" encoding="utf-8"?>
<Properties xmlns="http://schemas.openxmlformats.org/officeDocument/2006/custom-properties" xmlns:vt="http://schemas.openxmlformats.org/officeDocument/2006/docPropsVTypes"/>
</file>