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Contamination des œufs d'oiseaux</w:t>
      </w:r>
    </w:p>
    <w:p>
      <w:pPr/>
      <w:r>
        <w:rPr/>
        <w:t xml:space="preserve">Version du 21/04/2020 à 06:06:21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Contamination des œufs d'oiseaux » permet d’évaluer les teneurs moyennes en mercure et organohalogénés dans les coquilles d'œufs d'océanites.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Contamination des œufs d'oiseaux » permet d’évaluer les teneurs moyennes en mercure et organohalogénés dans les coquilles d'œufs d'océanites.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</w:t>
      </w:r>
      <w:br/>
      <w:r>
        <w:rPr/>
        <w:t xml:space="preserve">Patrimoine naturel &gt; Oiseaux marins et côtiers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tempérés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2008, Protocole écoQO OSPAR,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2026-05-20T09:15:48+02:00</dcterms:created>
  <dcterms:modified xsi:type="dcterms:W3CDTF">2026-05-20T09:15:48+02:00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