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Classement REMI</w:t>
      </w:r>
    </w:p>
    <w:p>
      <w:pPr/>
      <w:r>
        <w:rPr/>
        <w:t xml:space="preserve">Version du 06/02/2020 à 11:28:06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Classement REMI » permet d’évaluer le nombre de sites par qualité microbiologique (C ou D) dans l'arrêté préfectoral de classement des zones de production de coquillages vivants. taux de points REMI montrant une augmentation du niveau de contamination en E.Coli sur une période de 10 ans (augmentation par rapport à quelle référence ? Période de 10 ans antérieures ou année précédente ou … ?)</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w:t>
      </w:r>
      <w:b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Amouroux I., 2009,  Bilan national REMI 2008, Rapport Ifremer - DEMP, 61p.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Principaux avantages</w:t>
      </w:r>
    </w:p>
    <w:p>
      <w:pPr/>
      <w:r>
        <w:rPr/>
        <w:t xml:space="preserve">pourrait facilement être suivi dans les AMP si les zones conchylicoles sont définies et le classement connu</w:t>
      </w:r>
    </w:p>
    <w:p>
      <w:pPr/>
      <w:r>
        <w:rPr/>
        <w:t xml:space="preserve">pourrait facilement être suivi dans les AMP en disposant de l'évolution des niveaux de contamination en E.Coli sur une période de 10 ans (analyse de tendance)</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2026-07-07T02:29:29+02:00</dcterms:created>
  <dcterms:modified xsi:type="dcterms:W3CDTF">2026-07-07T02:29:29+02:00</dcterms:modified>
</cp:coreProperties>
</file>

<file path=docProps/custom.xml><?xml version="1.0" encoding="utf-8"?>
<Properties xmlns="http://schemas.openxmlformats.org/officeDocument/2006/custom-properties" xmlns:vt="http://schemas.openxmlformats.org/officeDocument/2006/docPropsVTypes"/>
</file>