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Réhabilitation décharges</w:t>
      </w:r>
    </w:p>
    <w:p>
      <w:pPr/>
      <w:r>
        <w:rPr/>
        <w:t xml:space="preserve">Version du 26/07/2019 à 09:05:26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"texte de présentation de l’indicateur"L’indicateur « Etat chimique des masses d'eau » permet d’évaluer le pourcentage de décharges sauvages réhabilitéesApplication :- PNM Mayotte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Ecosystèmes tropicaux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Réponses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Anonyme, ?, Atlas interactif des résultats DCE, xxp.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/>
      <w:r>
        <w:rPr/>
        <w:t xml:space="preserve">non suivi au PNMM : il faut récupérer les données ADEME et les compléter par des études de terrain. Réseau d'acteurs à organiser. 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/>
      <w:r>
        <w:rPr/>
        <w:t xml:space="preserve">Belon N, 2010, Optimisation de la collecte des déchets ménagers et assimilés du SIDS, xxp.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2026-10-06T03:10:18+02:00</dcterms:created>
  <dcterms:modified xsi:type="dcterms:W3CDTF">2026-10-06T03:10:18+02:00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