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Réhabilitation décharges</w:t>
      </w:r>
    </w:p>
    <w:p>
      <w:pPr/>
      <w:r>
        <w:rPr/>
        <w:t xml:space="preserve">Version du 26/07/2019 à 09:05:26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"texte de présentation de l’indicateur"L’indicateur « Etat chimique des masses d'eau » permet d’évaluer le pourcentage de décharges sauvages réhabilitéesApplication :-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?, Atlas interactif des résultats DCE,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non suivi au PNMM : il faut récupérer les données ADEME et les compléter par des études de terrain. Réseau d'acteurs à organiser.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Belon N, 2010, Optimisation de la collecte des déchets ménagers et assimilés du SIDS,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2026-05-20T09:15:47+02:00</dcterms:created>
  <dcterms:modified xsi:type="dcterms:W3CDTF">2026-05-20T09:15:47+02:00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